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64" w:rsidRDefault="004C4B64" w:rsidP="004C4B64">
      <w:pPr>
        <w:jc w:val="right"/>
        <w:rPr>
          <w:rFonts w:cs="Arial"/>
        </w:rPr>
      </w:pPr>
    </w:p>
    <w:p w:rsidR="004C4B64" w:rsidRPr="00D422E4" w:rsidRDefault="004C4B64" w:rsidP="004C4B64">
      <w:pPr>
        <w:jc w:val="center"/>
        <w:rPr>
          <w:rFonts w:cs="Arial"/>
          <w:b/>
          <w:szCs w:val="22"/>
        </w:rPr>
      </w:pPr>
      <w:r>
        <w:rPr>
          <w:rFonts w:cs="Arial"/>
          <w:b/>
          <w:szCs w:val="22"/>
        </w:rPr>
        <w:t xml:space="preserve">PROPOSED </w:t>
      </w:r>
      <w:r w:rsidRPr="00D422E4">
        <w:rPr>
          <w:rFonts w:cs="Arial"/>
          <w:b/>
          <w:szCs w:val="22"/>
        </w:rPr>
        <w:t>CONDITIONS ATTACHED TO</w:t>
      </w:r>
      <w:r>
        <w:rPr>
          <w:rFonts w:cs="Arial"/>
          <w:b/>
          <w:szCs w:val="22"/>
        </w:rPr>
        <w:t xml:space="preserve"> </w:t>
      </w:r>
      <w:r w:rsidRPr="00D422E4">
        <w:rPr>
          <w:rFonts w:cs="Arial"/>
          <w:b/>
          <w:szCs w:val="22"/>
        </w:rPr>
        <w:t>DEVELOPMENT CONSENT NO. DA-112-2019</w:t>
      </w:r>
    </w:p>
    <w:p w:rsidR="004C4B64" w:rsidRDefault="004C4B64" w:rsidP="004C4B64">
      <w:pPr>
        <w:pBdr>
          <w:top w:val="single" w:sz="6" w:space="0" w:color="auto"/>
          <w:left w:val="single" w:sz="6" w:space="1" w:color="auto"/>
          <w:bottom w:val="single" w:sz="6" w:space="1" w:color="auto"/>
          <w:right w:val="single" w:sz="6" w:space="1" w:color="auto"/>
        </w:pBdr>
        <w:shd w:val="pct10" w:color="auto" w:fill="auto"/>
        <w:spacing w:before="120" w:after="120"/>
        <w:ind w:right="32"/>
        <w:jc w:val="both"/>
        <w:rPr>
          <w:rFonts w:cs="Arial"/>
          <w:sz w:val="20"/>
          <w:szCs w:val="20"/>
        </w:rPr>
      </w:pPr>
      <w:r w:rsidRPr="003D252E">
        <w:rPr>
          <w:rFonts w:cs="Arial"/>
          <w:sz w:val="20"/>
          <w:szCs w:val="20"/>
        </w:rPr>
        <w:t>Please read all conditions carefully. The applicant/developer may arrange to meet with Council to review and clarify, if necessary, the precise requirements of the conditions of this consent.</w:t>
      </w:r>
    </w:p>
    <w:p w:rsidR="004C4B64" w:rsidRPr="003D252E" w:rsidRDefault="004C4B64" w:rsidP="004C4B64">
      <w:pPr>
        <w:pBdr>
          <w:top w:val="single" w:sz="6" w:space="0" w:color="auto"/>
          <w:left w:val="single" w:sz="6" w:space="1" w:color="auto"/>
          <w:bottom w:val="single" w:sz="6" w:space="1" w:color="auto"/>
          <w:right w:val="single" w:sz="6" w:space="1" w:color="auto"/>
        </w:pBdr>
        <w:shd w:val="pct10" w:color="auto" w:fill="auto"/>
        <w:spacing w:before="120" w:after="120"/>
        <w:ind w:right="32"/>
        <w:jc w:val="both"/>
        <w:rPr>
          <w:rFonts w:cs="Arial"/>
          <w:i/>
          <w:sz w:val="20"/>
          <w:szCs w:val="20"/>
        </w:rPr>
      </w:pPr>
      <w:r w:rsidRPr="003D252E">
        <w:rPr>
          <w:rFonts w:cs="Arial"/>
          <w:i/>
          <w:sz w:val="20"/>
          <w:szCs w:val="20"/>
        </w:rPr>
        <w:t>Note: A copy of all conditions contained in this consent are to be provided to contractors and subcontractors working on the site, to ensure all work is carried out in accordance with this consent.</w:t>
      </w:r>
    </w:p>
    <w:p w:rsidR="004C4B64" w:rsidRDefault="004C4B64" w:rsidP="004C4B64">
      <w:pPr>
        <w:spacing w:before="120" w:after="120"/>
        <w:rPr>
          <w:szCs w:val="22"/>
          <w:lang w:val="en-US"/>
        </w:rPr>
      </w:pPr>
      <w:r>
        <w:rPr>
          <w:b/>
          <w:szCs w:val="22"/>
          <w:lang w:val="en-US"/>
        </w:rPr>
        <w:t>PRESCRIBED CONDITIONS</w:t>
      </w:r>
    </w:p>
    <w:p w:rsidR="004C4B64" w:rsidRDefault="004C4B64" w:rsidP="004C4B64">
      <w:pPr>
        <w:spacing w:after="120"/>
        <w:jc w:val="both"/>
        <w:rPr>
          <w:szCs w:val="22"/>
          <w:lang w:val="en-US"/>
        </w:rPr>
      </w:pPr>
      <w:r>
        <w:rPr>
          <w:rFonts w:cs="Arial"/>
          <w:szCs w:val="22"/>
        </w:rPr>
        <w:t>For the purposes of section 80A (11) of the Act, the following conditions are prescribed conditions of development consent:</w:t>
      </w:r>
    </w:p>
    <w:p w:rsidR="004C4B64" w:rsidRDefault="004C4B64" w:rsidP="004C4B64">
      <w:pPr>
        <w:rPr>
          <w:b/>
          <w:sz w:val="2"/>
          <w:szCs w:val="2"/>
        </w:rPr>
      </w:pPr>
    </w:p>
    <w:tbl>
      <w:tblPr>
        <w:tblW w:w="10031" w:type="dxa"/>
        <w:tblLook w:val="01E0" w:firstRow="1" w:lastRow="1" w:firstColumn="1" w:lastColumn="1" w:noHBand="0" w:noVBand="0"/>
      </w:tblPr>
      <w:tblGrid>
        <w:gridCol w:w="10031"/>
      </w:tblGrid>
      <w:tr w:rsidR="004C4B64" w:rsidTr="0039097E">
        <w:tc>
          <w:tcPr>
            <w:tcW w:w="10031" w:type="dxa"/>
            <w:hideMark/>
          </w:tcPr>
          <w:p w:rsidR="004C4B64" w:rsidRDefault="004C4B64" w:rsidP="0039097E">
            <w:pPr>
              <w:spacing w:after="120"/>
              <w:jc w:val="both"/>
              <w:rPr>
                <w:rFonts w:cs="Arial"/>
                <w:szCs w:val="22"/>
              </w:rPr>
            </w:pPr>
            <w:r>
              <w:rPr>
                <w:rFonts w:cs="Arial"/>
                <w:b/>
                <w:szCs w:val="22"/>
              </w:rPr>
              <w:t xml:space="preserve">136A EP&amp;A </w:t>
            </w:r>
            <w:proofErr w:type="spellStart"/>
            <w:r>
              <w:rPr>
                <w:rFonts w:cs="Arial"/>
                <w:b/>
                <w:szCs w:val="22"/>
              </w:rPr>
              <w:t>Regs</w:t>
            </w:r>
            <w:proofErr w:type="spellEnd"/>
            <w:r>
              <w:rPr>
                <w:rFonts w:cs="Arial"/>
                <w:b/>
                <w:szCs w:val="22"/>
              </w:rPr>
              <w:t xml:space="preserve"> 2000: Compliance with Building Code of Australia </w:t>
            </w:r>
          </w:p>
          <w:p w:rsidR="004C4B64" w:rsidRDefault="004C4B64" w:rsidP="0039097E">
            <w:pPr>
              <w:spacing w:after="120"/>
              <w:ind w:left="426" w:hanging="426"/>
              <w:jc w:val="both"/>
            </w:pPr>
            <w:r>
              <w:t>(1)  For the purposes of section 80A (11) of the Act, t</w:t>
            </w:r>
            <w:r>
              <w:rPr>
                <w:rFonts w:cs="Arial"/>
              </w:rPr>
              <w:t>he following conditions are prescribed in relation to a development consent for development that involves any building work:</w:t>
            </w:r>
            <w:r>
              <w:t xml:space="preserve"> </w:t>
            </w:r>
          </w:p>
          <w:p w:rsidR="004C4B64" w:rsidRDefault="004C4B64" w:rsidP="0039097E">
            <w:pPr>
              <w:spacing w:after="120"/>
              <w:ind w:left="851" w:hanging="426"/>
              <w:jc w:val="both"/>
              <w:rPr>
                <w:i/>
              </w:rPr>
            </w:pPr>
            <w:r>
              <w:t>(a)  </w:t>
            </w:r>
            <w:r>
              <w:tab/>
            </w:r>
            <w:proofErr w:type="gramStart"/>
            <w:r>
              <w:t>that</w:t>
            </w:r>
            <w:proofErr w:type="gramEnd"/>
            <w:r>
              <w:t xml:space="preserve"> the work must be carried out in accordance with the requirements of the </w:t>
            </w:r>
            <w:r>
              <w:rPr>
                <w:i/>
                <w:iCs/>
              </w:rPr>
              <w:t>Building Code of Australia</w:t>
            </w:r>
            <w:r>
              <w:t>.</w:t>
            </w:r>
          </w:p>
        </w:tc>
      </w:tr>
    </w:tbl>
    <w:p w:rsidR="004C4B64" w:rsidRDefault="004C4B64" w:rsidP="004C4B64"/>
    <w:p w:rsidR="004C4B64" w:rsidRDefault="004C4B64" w:rsidP="004C4B64">
      <w:pPr>
        <w:tabs>
          <w:tab w:val="left" w:pos="4245"/>
        </w:tabs>
        <w:spacing w:after="120"/>
        <w:rPr>
          <w:rFonts w:cs="Arial"/>
          <w:b/>
          <w:szCs w:val="22"/>
        </w:rPr>
      </w:pPr>
      <w:r>
        <w:rPr>
          <w:rFonts w:cs="Arial"/>
          <w:b/>
          <w:szCs w:val="22"/>
        </w:rPr>
        <w:t>GENERAL CONDITIONS</w:t>
      </w:r>
    </w:p>
    <w:tbl>
      <w:tblPr>
        <w:tblW w:w="10031" w:type="dxa"/>
        <w:tblLook w:val="01E0" w:firstRow="1" w:lastRow="1" w:firstColumn="1" w:lastColumn="1" w:noHBand="0" w:noVBand="0"/>
      </w:tblPr>
      <w:tblGrid>
        <w:gridCol w:w="468"/>
        <w:gridCol w:w="9563"/>
      </w:tblGrid>
      <w:tr w:rsidR="004C4B64" w:rsidTr="0039097E">
        <w:tc>
          <w:tcPr>
            <w:tcW w:w="468" w:type="dxa"/>
            <w:hideMark/>
          </w:tcPr>
          <w:p w:rsidR="004C4B64" w:rsidRDefault="004C4B64" w:rsidP="0039097E">
            <w:pPr>
              <w:rPr>
                <w:szCs w:val="22"/>
              </w:rPr>
            </w:pPr>
            <w:r>
              <w:rPr>
                <w:szCs w:val="22"/>
              </w:rPr>
              <w:t>1.</w:t>
            </w:r>
          </w:p>
        </w:tc>
        <w:tc>
          <w:tcPr>
            <w:tcW w:w="9563" w:type="dxa"/>
          </w:tcPr>
          <w:p w:rsidR="004C4B64" w:rsidRDefault="004C4B64" w:rsidP="0039097E">
            <w:pPr>
              <w:jc w:val="both"/>
              <w:rPr>
                <w:rFonts w:cs="Calibri"/>
              </w:rPr>
            </w:pPr>
            <w:r>
              <w:rPr>
                <w:rFonts w:cs="Calibri"/>
              </w:rPr>
              <w:t>To ensure this development is consistent with Council’s consent, the development must take place in accordance with the submitted and approved Statement of Environmental Effects and appendices prepared by Eco Logical Australia and their consultants and dated August 2019 (bearing the Armidale Regional Council approval stamp); and all other documents submitted with the application, and subject to the consent conditions in this notice. In the event of any inconsistency between the approved plans and the conditions of this consent, the conditions shall prevail.</w:t>
            </w:r>
          </w:p>
          <w:p w:rsidR="004C4B64" w:rsidRDefault="004C4B64" w:rsidP="0039097E">
            <w:pPr>
              <w:jc w:val="both"/>
              <w:rPr>
                <w:rFonts w:cs="Calibri"/>
              </w:rPr>
            </w:pPr>
          </w:p>
          <w:p w:rsidR="004C4B64" w:rsidRDefault="004C4B64" w:rsidP="0039097E">
            <w:pPr>
              <w:jc w:val="both"/>
              <w:rPr>
                <w:szCs w:val="22"/>
              </w:rPr>
            </w:pPr>
            <w:r>
              <w:rPr>
                <w:rFonts w:cs="Calibri"/>
                <w:i/>
              </w:rPr>
              <w:t>ADVISING: Further consent may be required for any change, enlargement or intensification of the premises or land use, including the display / erection of any new structure (unless the proposed work is exempt from the need for consent).  Please check with Council before commencement.</w:t>
            </w:r>
            <w:r>
              <w:rPr>
                <w:szCs w:val="22"/>
              </w:rPr>
              <w:t xml:space="preserve"> </w:t>
            </w:r>
          </w:p>
          <w:p w:rsidR="004C4B64" w:rsidRDefault="004C4B64" w:rsidP="0039097E">
            <w:pPr>
              <w:jc w:val="both"/>
              <w:rPr>
                <w:szCs w:val="22"/>
              </w:rPr>
            </w:pPr>
          </w:p>
        </w:tc>
      </w:tr>
      <w:tr w:rsidR="004C4B64" w:rsidTr="0039097E">
        <w:tc>
          <w:tcPr>
            <w:tcW w:w="468" w:type="dxa"/>
            <w:hideMark/>
          </w:tcPr>
          <w:p w:rsidR="004C4B64" w:rsidRDefault="004C4B64" w:rsidP="0039097E">
            <w:pPr>
              <w:rPr>
                <w:szCs w:val="22"/>
              </w:rPr>
            </w:pPr>
            <w:r>
              <w:rPr>
                <w:szCs w:val="22"/>
              </w:rPr>
              <w:t>2.</w:t>
            </w:r>
          </w:p>
        </w:tc>
        <w:tc>
          <w:tcPr>
            <w:tcW w:w="9563" w:type="dxa"/>
          </w:tcPr>
          <w:p w:rsidR="004C4B64" w:rsidRDefault="004C4B64" w:rsidP="0039097E">
            <w:pPr>
              <w:jc w:val="both"/>
              <w:rPr>
                <w:rFonts w:cs="Calibri"/>
              </w:rPr>
            </w:pPr>
            <w:r>
              <w:rPr>
                <w:rFonts w:cs="Calibri"/>
              </w:rPr>
              <w:t>All Engineering works to be designed by a competent person and carried out in accordance with Council’s Engineering Code, unless otherwise indicated in this consent, to ensure that these works are of a sustainable and safe standard.</w:t>
            </w:r>
          </w:p>
          <w:p w:rsidR="004C4B64" w:rsidRDefault="004C4B64" w:rsidP="0039097E">
            <w:pPr>
              <w:jc w:val="both"/>
              <w:rPr>
                <w:rFonts w:cs="Calibri"/>
              </w:rPr>
            </w:pPr>
          </w:p>
        </w:tc>
      </w:tr>
      <w:tr w:rsidR="004C4B64" w:rsidTr="0039097E">
        <w:tc>
          <w:tcPr>
            <w:tcW w:w="468" w:type="dxa"/>
            <w:hideMark/>
          </w:tcPr>
          <w:p w:rsidR="004C4B64" w:rsidRDefault="004C4B64" w:rsidP="0039097E">
            <w:pPr>
              <w:rPr>
                <w:szCs w:val="22"/>
              </w:rPr>
            </w:pPr>
            <w:r>
              <w:rPr>
                <w:szCs w:val="22"/>
              </w:rPr>
              <w:t>3.</w:t>
            </w:r>
          </w:p>
        </w:tc>
        <w:tc>
          <w:tcPr>
            <w:tcW w:w="9563" w:type="dxa"/>
          </w:tcPr>
          <w:p w:rsidR="004C4B64" w:rsidRDefault="004C4B64" w:rsidP="0039097E">
            <w:pPr>
              <w:jc w:val="both"/>
              <w:rPr>
                <w:rFonts w:cs="Calibri"/>
              </w:rPr>
            </w:pPr>
            <w:r>
              <w:rPr>
                <w:rFonts w:cs="Calibri"/>
              </w:rPr>
              <w:t>All existing trees on the site/s are to be retained and protected from damage during work on the site, (with the exception of those identified within the Development Site itself), to maintain the visual amenity of the locality and no buildings are to be constructed or utility service mains installed within 3 metres of the trunks of these trees, so as not to prejudice their future retention.</w:t>
            </w:r>
          </w:p>
          <w:p w:rsidR="004C4B64" w:rsidRDefault="004C4B64" w:rsidP="0039097E">
            <w:pPr>
              <w:jc w:val="both"/>
              <w:rPr>
                <w:rFonts w:cs="Calibri"/>
              </w:rPr>
            </w:pPr>
          </w:p>
        </w:tc>
      </w:tr>
      <w:tr w:rsidR="004C4B64" w:rsidRPr="00257517" w:rsidTr="0039097E">
        <w:tc>
          <w:tcPr>
            <w:tcW w:w="468" w:type="dxa"/>
            <w:hideMark/>
          </w:tcPr>
          <w:p w:rsidR="004C4B64" w:rsidRDefault="004C4B64" w:rsidP="0039097E">
            <w:pPr>
              <w:rPr>
                <w:szCs w:val="22"/>
              </w:rPr>
            </w:pPr>
            <w:r>
              <w:rPr>
                <w:szCs w:val="22"/>
              </w:rPr>
              <w:t>4.</w:t>
            </w:r>
          </w:p>
        </w:tc>
        <w:tc>
          <w:tcPr>
            <w:tcW w:w="9563" w:type="dxa"/>
          </w:tcPr>
          <w:p w:rsidR="004C4B64" w:rsidRDefault="004C4B64" w:rsidP="0039097E">
            <w:pPr>
              <w:jc w:val="both"/>
              <w:rPr>
                <w:rFonts w:cs="Calibri"/>
              </w:rPr>
            </w:pPr>
            <w:r>
              <w:rPr>
                <w:rFonts w:cs="Calibri"/>
              </w:rPr>
              <w:t>Prior to the commencement of construction, the decommissioning of the development or the cessation of operations, the applicant/land owner must notify Armidale Regional Council in writing of the date of commencement, decommissioning or cessation (whichever is relevant).</w:t>
            </w:r>
          </w:p>
          <w:p w:rsidR="004C4B64" w:rsidRPr="00257517" w:rsidRDefault="004C4B64" w:rsidP="0039097E">
            <w:pPr>
              <w:jc w:val="both"/>
              <w:rPr>
                <w:rFonts w:cs="Calibri"/>
              </w:rPr>
            </w:pPr>
          </w:p>
        </w:tc>
      </w:tr>
      <w:tr w:rsidR="004C4B64" w:rsidTr="0039097E">
        <w:tc>
          <w:tcPr>
            <w:tcW w:w="468" w:type="dxa"/>
            <w:hideMark/>
          </w:tcPr>
          <w:p w:rsidR="004C4B64" w:rsidRPr="001A717D" w:rsidRDefault="004C4B64" w:rsidP="0039097E">
            <w:pPr>
              <w:rPr>
                <w:szCs w:val="22"/>
              </w:rPr>
            </w:pPr>
            <w:r w:rsidRPr="001A717D">
              <w:rPr>
                <w:szCs w:val="22"/>
              </w:rPr>
              <w:t>5.</w:t>
            </w:r>
          </w:p>
        </w:tc>
        <w:tc>
          <w:tcPr>
            <w:tcW w:w="9563" w:type="dxa"/>
          </w:tcPr>
          <w:p w:rsidR="004C4B64" w:rsidRDefault="004C4B64" w:rsidP="0039097E">
            <w:pPr>
              <w:jc w:val="both"/>
              <w:rPr>
                <w:rFonts w:cs="Calibri"/>
              </w:rPr>
            </w:pPr>
            <w:r>
              <w:rPr>
                <w:rFonts w:cs="Calibri"/>
              </w:rPr>
              <w:t>Materials and their finishes/colours of any proposed site building/ panels and arrays/ infrastructure related to the development is to be selected to blend with the surrounding landscape and are not to be reflective in nature, to ensure that they visually integrated with the surrounding environment.</w:t>
            </w:r>
          </w:p>
        </w:tc>
      </w:tr>
    </w:tbl>
    <w:p w:rsidR="004C4B64" w:rsidRDefault="004C4B64" w:rsidP="004C4B64"/>
    <w:p w:rsidR="004C4B64" w:rsidRDefault="004C4B64" w:rsidP="004C4B64"/>
    <w:p w:rsidR="004C4B64" w:rsidRDefault="004C4B64" w:rsidP="004C4B64">
      <w:pPr>
        <w:spacing w:before="120" w:after="120"/>
        <w:jc w:val="both"/>
        <w:rPr>
          <w:rFonts w:cs="Arial"/>
          <w:b/>
          <w:szCs w:val="22"/>
          <w:lang w:val="en-US"/>
        </w:rPr>
      </w:pPr>
      <w:r>
        <w:rPr>
          <w:rFonts w:cs="Arial"/>
          <w:b/>
          <w:szCs w:val="22"/>
          <w:lang w:val="en-US"/>
        </w:rPr>
        <w:br w:type="page"/>
      </w:r>
    </w:p>
    <w:p w:rsidR="004C4B64" w:rsidRDefault="004C4B64" w:rsidP="004C4B64">
      <w:pPr>
        <w:spacing w:before="120" w:after="120"/>
        <w:jc w:val="both"/>
        <w:rPr>
          <w:rFonts w:cs="Arial"/>
          <w:b/>
          <w:szCs w:val="22"/>
          <w:lang w:val="en-US"/>
        </w:rPr>
      </w:pPr>
      <w:r w:rsidRPr="00BD5DE2">
        <w:rPr>
          <w:rFonts w:cs="Arial"/>
          <w:b/>
          <w:szCs w:val="22"/>
          <w:lang w:val="en-US"/>
        </w:rPr>
        <w:lastRenderedPageBreak/>
        <w:t xml:space="preserve">BEFORE RELEASE OF </w:t>
      </w:r>
      <w:r>
        <w:rPr>
          <w:rFonts w:cs="Arial"/>
          <w:b/>
          <w:szCs w:val="22"/>
          <w:lang w:val="en-US"/>
        </w:rPr>
        <w:t>s138 APPROVAL</w:t>
      </w:r>
    </w:p>
    <w:tbl>
      <w:tblPr>
        <w:tblW w:w="10031" w:type="dxa"/>
        <w:tblLook w:val="01E0" w:firstRow="1" w:lastRow="1" w:firstColumn="1" w:lastColumn="1" w:noHBand="0" w:noVBand="0"/>
      </w:tblPr>
      <w:tblGrid>
        <w:gridCol w:w="495"/>
        <w:gridCol w:w="9536"/>
      </w:tblGrid>
      <w:tr w:rsidR="004C4B64" w:rsidRPr="00365431" w:rsidTr="0039097E">
        <w:tc>
          <w:tcPr>
            <w:tcW w:w="495" w:type="dxa"/>
          </w:tcPr>
          <w:p w:rsidR="004C4B64" w:rsidRPr="00365431" w:rsidRDefault="004C4B64" w:rsidP="0039097E">
            <w:pPr>
              <w:rPr>
                <w:rFonts w:cs="Arial"/>
                <w:szCs w:val="22"/>
              </w:rPr>
            </w:pPr>
            <w:r>
              <w:rPr>
                <w:rFonts w:cs="Arial"/>
                <w:szCs w:val="22"/>
              </w:rPr>
              <w:t>6</w:t>
            </w:r>
            <w:r w:rsidRPr="00365431">
              <w:rPr>
                <w:rFonts w:cs="Arial"/>
                <w:szCs w:val="22"/>
              </w:rPr>
              <w:t>.</w:t>
            </w:r>
          </w:p>
        </w:tc>
        <w:tc>
          <w:tcPr>
            <w:tcW w:w="9536" w:type="dxa"/>
          </w:tcPr>
          <w:p w:rsidR="004C4B64" w:rsidRDefault="004C4B64" w:rsidP="0039097E">
            <w:pPr>
              <w:spacing w:after="120"/>
              <w:jc w:val="both"/>
              <w:rPr>
                <w:rFonts w:cs="Calibri"/>
              </w:rPr>
            </w:pPr>
            <w:r w:rsidRPr="00D318FB">
              <w:rPr>
                <w:rFonts w:cs="Calibri"/>
              </w:rPr>
              <w:t>The high risk rated CARs identified in the Road Safety Audit (</w:t>
            </w:r>
            <w:r w:rsidRPr="00D318FB">
              <w:rPr>
                <w:rFonts w:cs="Calibri"/>
                <w:i/>
              </w:rPr>
              <w:t>Stage 5 – Road Safety Audit: Stringy Ba</w:t>
            </w:r>
            <w:r>
              <w:rPr>
                <w:rFonts w:cs="Calibri"/>
                <w:i/>
              </w:rPr>
              <w:t>r</w:t>
            </w:r>
            <w:r w:rsidRPr="00D318FB">
              <w:rPr>
                <w:rFonts w:cs="Calibri"/>
                <w:i/>
              </w:rPr>
              <w:t>k Solar Farm Transportation Route Revision 2, Constructive Solutions Pty Ltd, 24/07/2019</w:t>
            </w:r>
            <w:r w:rsidRPr="00D318FB">
              <w:rPr>
                <w:rFonts w:cs="Calibri"/>
              </w:rPr>
              <w:t xml:space="preserve">) are to be actioned and </w:t>
            </w:r>
            <w:r>
              <w:rPr>
                <w:rFonts w:cs="Calibri"/>
              </w:rPr>
              <w:t>made good</w:t>
            </w:r>
            <w:r w:rsidRPr="00D318FB">
              <w:rPr>
                <w:rFonts w:cs="Calibri"/>
              </w:rPr>
              <w:t xml:space="preserve"> to improve driver safety</w:t>
            </w:r>
            <w:r>
              <w:rPr>
                <w:rFonts w:cs="Calibri"/>
              </w:rPr>
              <w:t xml:space="preserve"> along </w:t>
            </w:r>
            <w:proofErr w:type="spellStart"/>
            <w:r>
              <w:rPr>
                <w:rFonts w:cs="Calibri"/>
              </w:rPr>
              <w:t>Gara</w:t>
            </w:r>
            <w:proofErr w:type="spellEnd"/>
            <w:r>
              <w:rPr>
                <w:rFonts w:cs="Calibri"/>
              </w:rPr>
              <w:t xml:space="preserve"> Road</w:t>
            </w:r>
            <w:r w:rsidRPr="00D318FB">
              <w:rPr>
                <w:rFonts w:cs="Calibri"/>
              </w:rPr>
              <w:t xml:space="preserve">. </w:t>
            </w:r>
          </w:p>
          <w:p w:rsidR="004C4B64" w:rsidRPr="00FA5602" w:rsidRDefault="004C4B64" w:rsidP="0039097E">
            <w:pPr>
              <w:spacing w:after="120"/>
              <w:jc w:val="both"/>
              <w:rPr>
                <w:rFonts w:cs="Calibri"/>
              </w:rPr>
            </w:pPr>
            <w:r w:rsidRPr="00D318FB">
              <w:rPr>
                <w:rFonts w:cs="Calibri"/>
              </w:rPr>
              <w:t>Additional improvement measures</w:t>
            </w:r>
            <w:r>
              <w:rPr>
                <w:rFonts w:cs="Calibri"/>
              </w:rPr>
              <w:t xml:space="preserve"> required as part of the </w:t>
            </w:r>
            <w:proofErr w:type="spellStart"/>
            <w:r>
              <w:rPr>
                <w:rFonts w:cs="Calibri"/>
              </w:rPr>
              <w:t>Gara</w:t>
            </w:r>
            <w:proofErr w:type="spellEnd"/>
            <w:r>
              <w:rPr>
                <w:rFonts w:cs="Calibri"/>
              </w:rPr>
              <w:t xml:space="preserve"> Road safety improvements</w:t>
            </w:r>
            <w:r w:rsidRPr="00D318FB">
              <w:rPr>
                <w:rFonts w:cs="Calibri"/>
              </w:rPr>
              <w:t xml:space="preserve"> include</w:t>
            </w:r>
            <w:r w:rsidRPr="00FA5602">
              <w:rPr>
                <w:rFonts w:cs="Calibri"/>
              </w:rPr>
              <w:t xml:space="preserve">:  </w:t>
            </w:r>
          </w:p>
          <w:p w:rsidR="004C4B64" w:rsidRDefault="004C4B64" w:rsidP="004C4B64">
            <w:pPr>
              <w:numPr>
                <w:ilvl w:val="0"/>
                <w:numId w:val="1"/>
              </w:numPr>
              <w:spacing w:after="120"/>
              <w:jc w:val="both"/>
              <w:rPr>
                <w:rFonts w:cs="Calibri"/>
              </w:rPr>
            </w:pPr>
            <w:r>
              <w:rPr>
                <w:rFonts w:cs="Calibri"/>
              </w:rPr>
              <w:t>A</w:t>
            </w:r>
            <w:r w:rsidRPr="00D318FB">
              <w:rPr>
                <w:rFonts w:cs="Calibri"/>
              </w:rPr>
              <w:t xml:space="preserve"> ‘crest ahead’ sign and ‘hidden driveway’ sign to be erected at the approach to 300 </w:t>
            </w:r>
            <w:proofErr w:type="spellStart"/>
            <w:r w:rsidRPr="00D318FB">
              <w:rPr>
                <w:rFonts w:cs="Calibri"/>
              </w:rPr>
              <w:t>Gara</w:t>
            </w:r>
            <w:proofErr w:type="spellEnd"/>
            <w:r w:rsidRPr="00D318FB">
              <w:rPr>
                <w:rFonts w:cs="Calibri"/>
              </w:rPr>
              <w:t xml:space="preserve"> Road for western bound traffic</w:t>
            </w:r>
            <w:r>
              <w:rPr>
                <w:rFonts w:cs="Calibri"/>
              </w:rPr>
              <w:t>;</w:t>
            </w:r>
            <w:r w:rsidRPr="00D318FB">
              <w:rPr>
                <w:rFonts w:cs="Calibri"/>
              </w:rPr>
              <w:t xml:space="preserve"> and </w:t>
            </w:r>
          </w:p>
          <w:p w:rsidR="004C4B64" w:rsidRPr="00FA5602" w:rsidRDefault="004C4B64" w:rsidP="004C4B64">
            <w:pPr>
              <w:numPr>
                <w:ilvl w:val="0"/>
                <w:numId w:val="1"/>
              </w:numPr>
              <w:spacing w:after="120"/>
              <w:jc w:val="both"/>
              <w:rPr>
                <w:rFonts w:cs="Calibri"/>
              </w:rPr>
            </w:pPr>
            <w:r>
              <w:rPr>
                <w:rFonts w:cs="Calibri"/>
              </w:rPr>
              <w:t>T</w:t>
            </w:r>
            <w:r w:rsidRPr="00D318FB">
              <w:rPr>
                <w:rFonts w:cs="Calibri"/>
              </w:rPr>
              <w:t>he reduction in batter grades at both approaches to the Burying Ground Creek Causeway to improve driver visibility.</w:t>
            </w:r>
            <w:r w:rsidRPr="00FA5602">
              <w:rPr>
                <w:rFonts w:cs="Calibri"/>
              </w:rPr>
              <w:t xml:space="preserve"> </w:t>
            </w:r>
          </w:p>
          <w:p w:rsidR="004C4B64" w:rsidRDefault="004C4B64" w:rsidP="0039097E">
            <w:pPr>
              <w:spacing w:after="120"/>
              <w:jc w:val="both"/>
              <w:rPr>
                <w:rFonts w:cs="Calibri"/>
              </w:rPr>
            </w:pPr>
            <w:r w:rsidRPr="00FA5602">
              <w:rPr>
                <w:rFonts w:cs="Calibri"/>
              </w:rPr>
              <w:t xml:space="preserve">Plans demonstrating compliance with the above matters to be provided to </w:t>
            </w:r>
            <w:r>
              <w:rPr>
                <w:rFonts w:cs="Calibri"/>
              </w:rPr>
              <w:t>Council</w:t>
            </w:r>
            <w:r w:rsidRPr="00FA5602">
              <w:rPr>
                <w:rFonts w:cs="Calibri"/>
              </w:rPr>
              <w:t xml:space="preserve"> </w:t>
            </w:r>
            <w:r>
              <w:rPr>
                <w:rFonts w:cs="Calibri"/>
              </w:rPr>
              <w:t xml:space="preserve">with </w:t>
            </w:r>
            <w:proofErr w:type="gramStart"/>
            <w:r>
              <w:rPr>
                <w:rFonts w:cs="Calibri"/>
              </w:rPr>
              <w:t>a</w:t>
            </w:r>
            <w:proofErr w:type="gramEnd"/>
            <w:r>
              <w:rPr>
                <w:rFonts w:cs="Calibri"/>
              </w:rPr>
              <w:t xml:space="preserve"> s138 Application.</w:t>
            </w:r>
          </w:p>
          <w:p w:rsidR="004C4B64" w:rsidRDefault="004C4B64" w:rsidP="0039097E">
            <w:pPr>
              <w:spacing w:after="120"/>
              <w:jc w:val="both"/>
              <w:rPr>
                <w:rFonts w:cs="Calibri"/>
              </w:rPr>
            </w:pPr>
            <w:r>
              <w:rPr>
                <w:rFonts w:cs="Calibri"/>
              </w:rPr>
              <w:t xml:space="preserve">The s138 Application must be approved </w:t>
            </w:r>
            <w:r w:rsidRPr="00FA5602">
              <w:rPr>
                <w:rFonts w:cs="Calibri"/>
              </w:rPr>
              <w:t>before the issue of a Construction Certificate for the development.</w:t>
            </w:r>
            <w:r>
              <w:rPr>
                <w:rFonts w:cs="Calibri"/>
              </w:rPr>
              <w:t xml:space="preserve"> </w:t>
            </w:r>
          </w:p>
          <w:p w:rsidR="004C4B64" w:rsidRDefault="004C4B64" w:rsidP="0039097E">
            <w:pPr>
              <w:jc w:val="both"/>
              <w:rPr>
                <w:rFonts w:cs="Calibri"/>
              </w:rPr>
            </w:pPr>
            <w:r>
              <w:rPr>
                <w:rFonts w:cs="Calibri"/>
              </w:rPr>
              <w:t>Approved w</w:t>
            </w:r>
            <w:r w:rsidRPr="00D318FB">
              <w:rPr>
                <w:rFonts w:cs="Calibri"/>
              </w:rPr>
              <w:t xml:space="preserve">orks to be completed </w:t>
            </w:r>
            <w:r>
              <w:rPr>
                <w:rFonts w:cs="Calibri"/>
              </w:rPr>
              <w:t xml:space="preserve">in accordance with the approval </w:t>
            </w:r>
            <w:r w:rsidRPr="00D318FB">
              <w:rPr>
                <w:rFonts w:cs="Calibri"/>
              </w:rPr>
              <w:t>prior to the solar farm construction phase commencing.</w:t>
            </w:r>
          </w:p>
          <w:p w:rsidR="004C4B64" w:rsidRPr="00365431" w:rsidRDefault="004C4B64" w:rsidP="0039097E">
            <w:pPr>
              <w:jc w:val="both"/>
              <w:rPr>
                <w:rFonts w:cs="Arial"/>
                <w:vanish/>
                <w:szCs w:val="22"/>
              </w:rPr>
            </w:pPr>
          </w:p>
        </w:tc>
      </w:tr>
      <w:tr w:rsidR="004C4B64" w:rsidTr="0039097E">
        <w:tc>
          <w:tcPr>
            <w:tcW w:w="495" w:type="dxa"/>
          </w:tcPr>
          <w:p w:rsidR="004C4B64" w:rsidRDefault="004C4B64" w:rsidP="0039097E">
            <w:pPr>
              <w:rPr>
                <w:rFonts w:cs="Arial"/>
                <w:szCs w:val="22"/>
              </w:rPr>
            </w:pPr>
            <w:r>
              <w:rPr>
                <w:rFonts w:cs="Arial"/>
                <w:szCs w:val="22"/>
              </w:rPr>
              <w:t>7.</w:t>
            </w:r>
          </w:p>
        </w:tc>
        <w:tc>
          <w:tcPr>
            <w:tcW w:w="9536" w:type="dxa"/>
          </w:tcPr>
          <w:p w:rsidR="004C4B64" w:rsidRPr="004D6147" w:rsidRDefault="004C4B64" w:rsidP="0039097E">
            <w:pPr>
              <w:spacing w:after="120"/>
              <w:jc w:val="both"/>
              <w:rPr>
                <w:rFonts w:cs="Calibri"/>
              </w:rPr>
            </w:pPr>
            <w:r w:rsidRPr="004D6147">
              <w:rPr>
                <w:rFonts w:cs="Calibri"/>
              </w:rPr>
              <w:t>Engineering designs are to be submitted detailing the following works required for the development:</w:t>
            </w:r>
          </w:p>
          <w:p w:rsidR="004C4B64" w:rsidRPr="004D6147" w:rsidRDefault="004C4B64" w:rsidP="004C4B64">
            <w:pPr>
              <w:pStyle w:val="Default"/>
              <w:numPr>
                <w:ilvl w:val="0"/>
                <w:numId w:val="13"/>
              </w:numPr>
              <w:spacing w:after="120"/>
              <w:ind w:left="402" w:hanging="357"/>
              <w:jc w:val="both"/>
              <w:rPr>
                <w:rFonts w:ascii="Calibri" w:hAnsi="Calibri" w:cs="Calibri"/>
                <w:color w:val="auto"/>
                <w:sz w:val="22"/>
              </w:rPr>
            </w:pPr>
            <w:r>
              <w:rPr>
                <w:rFonts w:ascii="Calibri" w:hAnsi="Calibri" w:cs="Calibri"/>
                <w:color w:val="auto"/>
                <w:sz w:val="22"/>
              </w:rPr>
              <w:t xml:space="preserve">The intersection with Grafton Road and </w:t>
            </w:r>
            <w:proofErr w:type="spellStart"/>
            <w:r>
              <w:rPr>
                <w:rFonts w:ascii="Calibri" w:hAnsi="Calibri" w:cs="Calibri"/>
                <w:color w:val="auto"/>
                <w:sz w:val="22"/>
              </w:rPr>
              <w:t>Gara</w:t>
            </w:r>
            <w:proofErr w:type="spellEnd"/>
            <w:r>
              <w:rPr>
                <w:rFonts w:ascii="Calibri" w:hAnsi="Calibri" w:cs="Calibri"/>
                <w:color w:val="auto"/>
                <w:sz w:val="22"/>
              </w:rPr>
              <w:t xml:space="preserve"> Road is to be upgraded to include both a rural style BAL and BAR turning treatments. Treatments are to be designed i</w:t>
            </w:r>
            <w:r w:rsidRPr="004D6147">
              <w:rPr>
                <w:rFonts w:ascii="Calibri" w:hAnsi="Calibri" w:cs="Calibri"/>
                <w:color w:val="auto"/>
                <w:sz w:val="22"/>
              </w:rPr>
              <w:t xml:space="preserve">n accordance with </w:t>
            </w:r>
            <w:proofErr w:type="spellStart"/>
            <w:r w:rsidRPr="004D6147">
              <w:rPr>
                <w:rFonts w:ascii="Calibri" w:hAnsi="Calibri" w:cs="Calibri"/>
                <w:color w:val="auto"/>
                <w:sz w:val="22"/>
              </w:rPr>
              <w:t>Austroads</w:t>
            </w:r>
            <w:proofErr w:type="spellEnd"/>
            <w:r>
              <w:rPr>
                <w:rFonts w:ascii="Calibri" w:hAnsi="Calibri" w:cs="Calibri"/>
                <w:color w:val="auto"/>
                <w:sz w:val="22"/>
              </w:rPr>
              <w:t xml:space="preserve"> standards</w:t>
            </w:r>
            <w:r w:rsidRPr="004D6147">
              <w:rPr>
                <w:rFonts w:ascii="Calibri" w:hAnsi="Calibri" w:cs="Calibri"/>
                <w:color w:val="auto"/>
                <w:sz w:val="22"/>
              </w:rPr>
              <w:t xml:space="preserve"> </w:t>
            </w:r>
          </w:p>
          <w:p w:rsidR="004C4B64" w:rsidRPr="004D6147" w:rsidRDefault="004C4B64" w:rsidP="004C4B64">
            <w:pPr>
              <w:pStyle w:val="Default"/>
              <w:numPr>
                <w:ilvl w:val="0"/>
                <w:numId w:val="13"/>
              </w:numPr>
              <w:spacing w:after="120"/>
              <w:ind w:left="402" w:hanging="357"/>
              <w:jc w:val="both"/>
              <w:rPr>
                <w:rFonts w:ascii="Calibri" w:hAnsi="Calibri" w:cs="Calibri"/>
                <w:color w:val="auto"/>
                <w:sz w:val="22"/>
              </w:rPr>
            </w:pPr>
            <w:r w:rsidRPr="004D6147">
              <w:rPr>
                <w:rFonts w:ascii="Calibri" w:hAnsi="Calibri" w:cs="Calibri"/>
                <w:color w:val="auto"/>
                <w:sz w:val="22"/>
              </w:rPr>
              <w:t xml:space="preserve">The </w:t>
            </w:r>
            <w:r>
              <w:rPr>
                <w:rFonts w:ascii="Calibri" w:hAnsi="Calibri" w:cs="Calibri"/>
                <w:color w:val="auto"/>
                <w:sz w:val="22"/>
              </w:rPr>
              <w:t xml:space="preserve">Grafton Road </w:t>
            </w:r>
            <w:r w:rsidRPr="004D6147">
              <w:rPr>
                <w:rFonts w:ascii="Calibri" w:hAnsi="Calibri" w:cs="Calibri"/>
                <w:color w:val="auto"/>
                <w:sz w:val="22"/>
              </w:rPr>
              <w:t xml:space="preserve">access to the sub-station is to be upgraded to a Rural Residential Access Standard and an </w:t>
            </w:r>
            <w:proofErr w:type="spellStart"/>
            <w:r w:rsidRPr="004D6147">
              <w:rPr>
                <w:rFonts w:ascii="Calibri" w:hAnsi="Calibri" w:cs="Calibri"/>
                <w:color w:val="auto"/>
                <w:sz w:val="22"/>
              </w:rPr>
              <w:t>Austroads</w:t>
            </w:r>
            <w:proofErr w:type="spellEnd"/>
            <w:r w:rsidRPr="004D6147">
              <w:rPr>
                <w:rFonts w:ascii="Calibri" w:hAnsi="Calibri" w:cs="Calibri"/>
                <w:color w:val="auto"/>
                <w:sz w:val="22"/>
              </w:rPr>
              <w:t xml:space="preserve"> BAR right-turn treatment to mitigate the reduced sight distance for approaching eastbound traffic. The access should be sealed for 30m to reduce tracking of material onto the Waterfall Way. </w:t>
            </w:r>
          </w:p>
          <w:p w:rsidR="004C4B64" w:rsidRPr="004D6147" w:rsidRDefault="004C4B64" w:rsidP="004C4B64">
            <w:pPr>
              <w:pStyle w:val="Default"/>
              <w:numPr>
                <w:ilvl w:val="0"/>
                <w:numId w:val="13"/>
              </w:numPr>
              <w:spacing w:after="120"/>
              <w:ind w:left="402" w:hanging="357"/>
              <w:jc w:val="both"/>
              <w:rPr>
                <w:rFonts w:ascii="Calibri" w:hAnsi="Calibri" w:cs="Calibri"/>
                <w:color w:val="auto"/>
                <w:sz w:val="22"/>
              </w:rPr>
            </w:pPr>
            <w:r>
              <w:rPr>
                <w:rFonts w:ascii="Calibri" w:hAnsi="Calibri" w:cs="Calibri"/>
                <w:color w:val="auto"/>
                <w:sz w:val="22"/>
              </w:rPr>
              <w:t xml:space="preserve">These </w:t>
            </w:r>
            <w:r w:rsidRPr="004D6147">
              <w:rPr>
                <w:rFonts w:ascii="Calibri" w:hAnsi="Calibri" w:cs="Calibri"/>
                <w:color w:val="auto"/>
                <w:sz w:val="22"/>
              </w:rPr>
              <w:t xml:space="preserve">proposed roadworks on the </w:t>
            </w:r>
            <w:r>
              <w:rPr>
                <w:rFonts w:ascii="Calibri" w:hAnsi="Calibri" w:cs="Calibri"/>
                <w:color w:val="auto"/>
                <w:sz w:val="22"/>
              </w:rPr>
              <w:t>Grafton Road</w:t>
            </w:r>
            <w:r w:rsidRPr="004D6147">
              <w:rPr>
                <w:rFonts w:ascii="Calibri" w:hAnsi="Calibri" w:cs="Calibri"/>
                <w:color w:val="auto"/>
                <w:sz w:val="22"/>
              </w:rPr>
              <w:t xml:space="preserve"> Way will require a Works Authorisation Deed (WAD) to be executed with Roads and Maritime Services. Roads and Maritime encourages applicant to commence this process early to avoid any delays.</w:t>
            </w:r>
          </w:p>
          <w:p w:rsidR="004C4B64" w:rsidRPr="004D6147" w:rsidRDefault="004C4B64" w:rsidP="0039097E">
            <w:pPr>
              <w:spacing w:after="120"/>
              <w:jc w:val="both"/>
              <w:rPr>
                <w:rFonts w:cs="Calibri"/>
              </w:rPr>
            </w:pPr>
            <w:r w:rsidRPr="004D6147">
              <w:rPr>
                <w:rFonts w:cs="Calibri"/>
              </w:rPr>
              <w:t xml:space="preserve">The detailed design, which </w:t>
            </w:r>
            <w:r>
              <w:rPr>
                <w:rFonts w:cs="Calibri"/>
              </w:rPr>
              <w:t>is</w:t>
            </w:r>
            <w:r w:rsidRPr="004D6147">
              <w:rPr>
                <w:rFonts w:cs="Calibri"/>
              </w:rPr>
              <w:t xml:space="preserve"> to be submitted to the satisfaction of Council via </w:t>
            </w:r>
            <w:proofErr w:type="gramStart"/>
            <w:r w:rsidRPr="004D6147">
              <w:rPr>
                <w:rFonts w:cs="Calibri"/>
              </w:rPr>
              <w:t>a</w:t>
            </w:r>
            <w:proofErr w:type="gramEnd"/>
            <w:r w:rsidRPr="004D6147">
              <w:rPr>
                <w:rFonts w:cs="Calibri"/>
              </w:rPr>
              <w:t xml:space="preserve"> s138 Roads Act Application, is to ensure that works at the Grafton/</w:t>
            </w:r>
            <w:proofErr w:type="spellStart"/>
            <w:r w:rsidRPr="004D6147">
              <w:rPr>
                <w:rFonts w:cs="Calibri"/>
              </w:rPr>
              <w:t>Gara</w:t>
            </w:r>
            <w:proofErr w:type="spellEnd"/>
            <w:r w:rsidRPr="004D6147">
              <w:rPr>
                <w:rFonts w:cs="Calibri"/>
              </w:rPr>
              <w:t xml:space="preserve"> Road intersection have taken into consideration the location of the heritage culvert (I222) in the locality and that such works do not impact on this Item.</w:t>
            </w:r>
          </w:p>
          <w:p w:rsidR="004C4B64" w:rsidRDefault="004C4B64" w:rsidP="0039097E">
            <w:pPr>
              <w:spacing w:after="120"/>
              <w:jc w:val="both"/>
              <w:rPr>
                <w:rFonts w:cs="Calibri"/>
              </w:rPr>
            </w:pPr>
            <w:r>
              <w:rPr>
                <w:rFonts w:cs="Calibri"/>
              </w:rPr>
              <w:t xml:space="preserve">In the event that any works are within the vicinity of this site that may impact on the Item, a Heritage Assessment and Heritage Impact Statement must be prepared and submitted with Engineering designs for Council’s consideration.  </w:t>
            </w:r>
          </w:p>
          <w:p w:rsidR="004C4B64" w:rsidRDefault="004C4B64" w:rsidP="0039097E">
            <w:pPr>
              <w:spacing w:after="120"/>
              <w:jc w:val="both"/>
              <w:rPr>
                <w:rFonts w:cs="Calibri"/>
              </w:rPr>
            </w:pPr>
            <w:r>
              <w:rPr>
                <w:rFonts w:cs="Calibri"/>
              </w:rPr>
              <w:t xml:space="preserve">The s138 Application must be approved </w:t>
            </w:r>
            <w:r w:rsidRPr="00FA5602">
              <w:rPr>
                <w:rFonts w:cs="Calibri"/>
              </w:rPr>
              <w:t>before the issue of a Construction Certificate for the development.</w:t>
            </w:r>
            <w:r>
              <w:rPr>
                <w:rFonts w:cs="Calibri"/>
              </w:rPr>
              <w:t xml:space="preserve"> </w:t>
            </w:r>
          </w:p>
          <w:p w:rsidR="004C4B64" w:rsidRDefault="004C4B64" w:rsidP="0039097E">
            <w:pPr>
              <w:jc w:val="both"/>
              <w:rPr>
                <w:rFonts w:cs="Calibri"/>
              </w:rPr>
            </w:pPr>
            <w:r>
              <w:rPr>
                <w:rFonts w:cs="Calibri"/>
              </w:rPr>
              <w:t>Approved w</w:t>
            </w:r>
            <w:r w:rsidRPr="00D318FB">
              <w:rPr>
                <w:rFonts w:cs="Calibri"/>
              </w:rPr>
              <w:t xml:space="preserve">orks to be completed </w:t>
            </w:r>
            <w:r>
              <w:rPr>
                <w:rFonts w:cs="Calibri"/>
              </w:rPr>
              <w:t xml:space="preserve">in accordance with the approval </w:t>
            </w:r>
            <w:r w:rsidRPr="00D318FB">
              <w:rPr>
                <w:rFonts w:cs="Calibri"/>
              </w:rPr>
              <w:t>prior to the solar farm construction phase commencing.</w:t>
            </w:r>
          </w:p>
          <w:p w:rsidR="004C4B64" w:rsidRDefault="004C4B64" w:rsidP="0039097E">
            <w:pPr>
              <w:spacing w:after="120"/>
              <w:jc w:val="both"/>
              <w:rPr>
                <w:rFonts w:cs="Calibri"/>
              </w:rPr>
            </w:pPr>
          </w:p>
        </w:tc>
      </w:tr>
    </w:tbl>
    <w:p w:rsidR="004C4B64" w:rsidRDefault="004C4B64" w:rsidP="004C4B64">
      <w:r>
        <w:br w:type="page"/>
      </w:r>
    </w:p>
    <w:tbl>
      <w:tblPr>
        <w:tblW w:w="10031" w:type="dxa"/>
        <w:tblLook w:val="01E0" w:firstRow="1" w:lastRow="1" w:firstColumn="1" w:lastColumn="1" w:noHBand="0" w:noVBand="0"/>
      </w:tblPr>
      <w:tblGrid>
        <w:gridCol w:w="495"/>
        <w:gridCol w:w="9536"/>
      </w:tblGrid>
      <w:tr w:rsidR="004C4B64" w:rsidRPr="00D318FB" w:rsidTr="0039097E">
        <w:tc>
          <w:tcPr>
            <w:tcW w:w="495" w:type="dxa"/>
          </w:tcPr>
          <w:p w:rsidR="004C4B64" w:rsidRDefault="004C4B64" w:rsidP="0039097E">
            <w:pPr>
              <w:rPr>
                <w:rFonts w:cs="Arial"/>
                <w:szCs w:val="22"/>
              </w:rPr>
            </w:pPr>
            <w:r>
              <w:rPr>
                <w:rFonts w:cs="Arial"/>
                <w:szCs w:val="22"/>
              </w:rPr>
              <w:lastRenderedPageBreak/>
              <w:t>8.</w:t>
            </w:r>
          </w:p>
        </w:tc>
        <w:tc>
          <w:tcPr>
            <w:tcW w:w="9536" w:type="dxa"/>
          </w:tcPr>
          <w:p w:rsidR="004C4B64" w:rsidRPr="00354A46" w:rsidRDefault="004C4B64" w:rsidP="0039097E">
            <w:pPr>
              <w:spacing w:after="120"/>
              <w:jc w:val="both"/>
              <w:rPr>
                <w:rFonts w:cs="Calibri"/>
              </w:rPr>
            </w:pPr>
            <w:r w:rsidRPr="00354A46">
              <w:rPr>
                <w:rFonts w:cs="Calibri"/>
              </w:rPr>
              <w:t xml:space="preserve">A Dilapidation </w:t>
            </w:r>
            <w:r>
              <w:rPr>
                <w:rFonts w:cs="Calibri"/>
              </w:rPr>
              <w:t>R</w:t>
            </w:r>
            <w:r w:rsidRPr="00354A46">
              <w:rPr>
                <w:rFonts w:cs="Calibri"/>
              </w:rPr>
              <w:t xml:space="preserve">eport for </w:t>
            </w:r>
            <w:proofErr w:type="spellStart"/>
            <w:r w:rsidRPr="00354A46">
              <w:rPr>
                <w:rFonts w:cs="Calibri"/>
              </w:rPr>
              <w:t>Gara</w:t>
            </w:r>
            <w:proofErr w:type="spellEnd"/>
            <w:r w:rsidRPr="00354A46">
              <w:rPr>
                <w:rFonts w:cs="Calibri"/>
              </w:rPr>
              <w:t xml:space="preserve"> Road</w:t>
            </w:r>
            <w:r>
              <w:rPr>
                <w:rFonts w:cs="Calibri"/>
              </w:rPr>
              <w:t>,</w:t>
            </w:r>
            <w:r w:rsidRPr="00354A46">
              <w:rPr>
                <w:rFonts w:cs="Calibri"/>
              </w:rPr>
              <w:t xml:space="preserve"> pre and post </w:t>
            </w:r>
            <w:proofErr w:type="gramStart"/>
            <w:r w:rsidRPr="00354A46">
              <w:rPr>
                <w:rFonts w:cs="Calibri"/>
              </w:rPr>
              <w:t>construction,</w:t>
            </w:r>
            <w:proofErr w:type="gramEnd"/>
            <w:r w:rsidRPr="00354A46">
              <w:rPr>
                <w:rFonts w:cs="Calibri"/>
              </w:rPr>
              <w:t xml:space="preserve"> is to be prepared and submitted to the satisfaction of Council prior to any road works being undertaken.</w:t>
            </w:r>
          </w:p>
          <w:p w:rsidR="004C4B64" w:rsidRDefault="004C4B64" w:rsidP="0039097E">
            <w:pPr>
              <w:spacing w:after="120"/>
              <w:jc w:val="both"/>
              <w:rPr>
                <w:rFonts w:cs="Calibri"/>
              </w:rPr>
            </w:pPr>
            <w:r w:rsidRPr="00354A46">
              <w:rPr>
                <w:rFonts w:cs="Calibri"/>
              </w:rPr>
              <w:t xml:space="preserve">Such report is to be undertaken in conjunction with Council’s Roads Manager or </w:t>
            </w:r>
            <w:r>
              <w:rPr>
                <w:rFonts w:cs="Calibri"/>
              </w:rPr>
              <w:t>n</w:t>
            </w:r>
            <w:r w:rsidRPr="00354A46">
              <w:rPr>
                <w:rFonts w:cs="Calibri"/>
              </w:rPr>
              <w:t>ominee</w:t>
            </w:r>
            <w:r>
              <w:rPr>
                <w:rFonts w:cs="Calibri"/>
              </w:rPr>
              <w:t>,</w:t>
            </w:r>
            <w:r w:rsidRPr="00354A46">
              <w:rPr>
                <w:rFonts w:cs="Calibri"/>
              </w:rPr>
              <w:t xml:space="preserve"> </w:t>
            </w:r>
            <w:r>
              <w:rPr>
                <w:rFonts w:cs="Calibri"/>
              </w:rPr>
              <w:t>to identify the condition of the roadway prior to works commencing so that any damage to the road during construction works can be rectified on completion of these works and prior to the operational phase of the development commencing.</w:t>
            </w:r>
          </w:p>
          <w:p w:rsidR="004C4B64" w:rsidRPr="00354A46" w:rsidRDefault="004C4B64" w:rsidP="0039097E">
            <w:pPr>
              <w:jc w:val="both"/>
              <w:rPr>
                <w:rFonts w:cs="Calibri"/>
              </w:rPr>
            </w:pPr>
            <w:r>
              <w:rPr>
                <w:rFonts w:cs="Calibri"/>
              </w:rPr>
              <w:t xml:space="preserve">Such Report should also include provisions for any upgrading/rectification works required to be undertaken by the developer both during and post construction works, in the event that the road surface becomes damaged during works as a result of any development related vehicles and is required to be rectified.         </w:t>
            </w:r>
            <w:r w:rsidRPr="00354A46">
              <w:rPr>
                <w:rFonts w:cs="Calibri"/>
              </w:rPr>
              <w:t xml:space="preserve"> </w:t>
            </w:r>
          </w:p>
          <w:p w:rsidR="004C4B64" w:rsidRPr="00D318FB" w:rsidRDefault="004C4B64" w:rsidP="0039097E">
            <w:pPr>
              <w:jc w:val="both"/>
              <w:rPr>
                <w:rFonts w:cs="Calibri"/>
              </w:rPr>
            </w:pPr>
          </w:p>
        </w:tc>
      </w:tr>
    </w:tbl>
    <w:p w:rsidR="004C4B64" w:rsidRDefault="004C4B64" w:rsidP="004C4B64">
      <w:pPr>
        <w:spacing w:before="120" w:after="120"/>
        <w:jc w:val="both"/>
        <w:rPr>
          <w:rFonts w:cs="Arial"/>
          <w:b/>
          <w:szCs w:val="22"/>
          <w:lang w:val="en-US"/>
        </w:rPr>
      </w:pPr>
      <w:r w:rsidRPr="00BD5DE2">
        <w:rPr>
          <w:rFonts w:cs="Arial"/>
          <w:b/>
          <w:szCs w:val="22"/>
          <w:lang w:val="en-US"/>
        </w:rPr>
        <w:t>BEFORE RELEASE OF CONSTRUCTION CERTIFICATE</w:t>
      </w:r>
    </w:p>
    <w:p w:rsidR="004C4B64" w:rsidRPr="00DA4106" w:rsidRDefault="004C4B64" w:rsidP="004C4B64">
      <w:pPr>
        <w:rPr>
          <w:sz w:val="2"/>
          <w:szCs w:val="2"/>
        </w:rPr>
      </w:pPr>
    </w:p>
    <w:p w:rsidR="004C4B64" w:rsidRPr="00DA4106" w:rsidRDefault="004C4B64" w:rsidP="004C4B64">
      <w:pPr>
        <w:rPr>
          <w:sz w:val="2"/>
          <w:szCs w:val="2"/>
        </w:rPr>
      </w:pPr>
    </w:p>
    <w:tbl>
      <w:tblPr>
        <w:tblW w:w="10031" w:type="dxa"/>
        <w:tblLook w:val="01E0" w:firstRow="1" w:lastRow="1" w:firstColumn="1" w:lastColumn="1" w:noHBand="0" w:noVBand="0"/>
      </w:tblPr>
      <w:tblGrid>
        <w:gridCol w:w="471"/>
        <w:gridCol w:w="9560"/>
      </w:tblGrid>
      <w:tr w:rsidR="004C4B64" w:rsidRPr="00FE47E5" w:rsidTr="0039097E">
        <w:tc>
          <w:tcPr>
            <w:tcW w:w="471" w:type="dxa"/>
          </w:tcPr>
          <w:p w:rsidR="004C4B64" w:rsidRDefault="004C4B64" w:rsidP="0039097E">
            <w:pPr>
              <w:rPr>
                <w:rFonts w:cs="Arial"/>
                <w:szCs w:val="22"/>
              </w:rPr>
            </w:pPr>
            <w:r>
              <w:rPr>
                <w:rFonts w:cs="Arial"/>
                <w:szCs w:val="22"/>
              </w:rPr>
              <w:t>9.</w:t>
            </w:r>
          </w:p>
        </w:tc>
        <w:tc>
          <w:tcPr>
            <w:tcW w:w="9560" w:type="dxa"/>
          </w:tcPr>
          <w:p w:rsidR="004C4B64" w:rsidRDefault="004C4B64" w:rsidP="0039097E">
            <w:pPr>
              <w:spacing w:after="120"/>
              <w:jc w:val="both"/>
              <w:rPr>
                <w:rFonts w:cs="Calibri"/>
              </w:rPr>
            </w:pPr>
            <w:r>
              <w:rPr>
                <w:rFonts w:cs="Calibri"/>
              </w:rPr>
              <w:t>In accordance with the SEE, the Applicant is to prepare the following Plans for the development:</w:t>
            </w:r>
          </w:p>
          <w:p w:rsidR="004C4B64" w:rsidRDefault="004C4B64" w:rsidP="004C4B64">
            <w:pPr>
              <w:numPr>
                <w:ilvl w:val="0"/>
                <w:numId w:val="11"/>
              </w:numPr>
              <w:spacing w:after="120"/>
              <w:jc w:val="both"/>
              <w:rPr>
                <w:rFonts w:cs="Calibri"/>
              </w:rPr>
            </w:pPr>
            <w:r>
              <w:rPr>
                <w:rFonts w:cs="Calibri"/>
              </w:rPr>
              <w:t>Emergency Response Plan (ERP);</w:t>
            </w:r>
          </w:p>
          <w:p w:rsidR="004C4B64" w:rsidRDefault="004C4B64" w:rsidP="004C4B64">
            <w:pPr>
              <w:numPr>
                <w:ilvl w:val="0"/>
                <w:numId w:val="11"/>
              </w:numPr>
              <w:spacing w:after="120"/>
              <w:jc w:val="both"/>
              <w:rPr>
                <w:rFonts w:cs="Calibri"/>
              </w:rPr>
            </w:pPr>
            <w:r>
              <w:rPr>
                <w:rFonts w:cs="Calibri"/>
              </w:rPr>
              <w:t xml:space="preserve">Construction Environmental Management Plan (CEMP), which is to include but not limited to: </w:t>
            </w:r>
          </w:p>
          <w:p w:rsidR="004C4B64" w:rsidRDefault="004C4B64" w:rsidP="0039097E">
            <w:pPr>
              <w:spacing w:after="120"/>
              <w:ind w:left="1065" w:hanging="284"/>
              <w:jc w:val="both"/>
              <w:rPr>
                <w:rFonts w:cs="Calibri"/>
              </w:rPr>
            </w:pPr>
            <w:r>
              <w:rPr>
                <w:rFonts w:cs="Calibri"/>
              </w:rPr>
              <w:t>-    Environmental measures to be implemented for any hazardous materials stored on site and prevent their offsite migration;</w:t>
            </w:r>
          </w:p>
          <w:p w:rsidR="004C4B64" w:rsidRDefault="004C4B64" w:rsidP="0039097E">
            <w:pPr>
              <w:spacing w:after="120"/>
              <w:ind w:left="1065" w:hanging="284"/>
              <w:jc w:val="both"/>
              <w:rPr>
                <w:rFonts w:cs="Calibri"/>
              </w:rPr>
            </w:pPr>
            <w:r>
              <w:rPr>
                <w:rFonts w:cs="Calibri"/>
              </w:rPr>
              <w:t>-    Details for the storage of any hazardous materials on site;</w:t>
            </w:r>
          </w:p>
          <w:p w:rsidR="004C4B64" w:rsidRDefault="004C4B64" w:rsidP="0039097E">
            <w:pPr>
              <w:spacing w:after="120"/>
              <w:ind w:left="1065" w:hanging="284"/>
              <w:jc w:val="both"/>
              <w:rPr>
                <w:rFonts w:cs="Calibri"/>
              </w:rPr>
            </w:pPr>
            <w:r>
              <w:rPr>
                <w:rFonts w:cs="Calibri"/>
              </w:rPr>
              <w:t>-    A Spill Response Plan (SRP)</w:t>
            </w:r>
          </w:p>
          <w:p w:rsidR="004C4B64" w:rsidRDefault="004C4B64" w:rsidP="0039097E">
            <w:pPr>
              <w:spacing w:after="120"/>
              <w:ind w:left="1065" w:hanging="284"/>
              <w:jc w:val="both"/>
              <w:rPr>
                <w:rFonts w:cs="Calibri"/>
              </w:rPr>
            </w:pPr>
            <w:r>
              <w:rPr>
                <w:rFonts w:cs="Calibri"/>
              </w:rPr>
              <w:t>-    ESCP;</w:t>
            </w:r>
          </w:p>
          <w:p w:rsidR="004C4B64" w:rsidRDefault="004C4B64" w:rsidP="0039097E">
            <w:pPr>
              <w:spacing w:after="120"/>
              <w:ind w:left="1065" w:hanging="284"/>
              <w:jc w:val="both"/>
              <w:rPr>
                <w:rFonts w:cs="Calibri"/>
              </w:rPr>
            </w:pPr>
            <w:r>
              <w:rPr>
                <w:rFonts w:cs="Calibri"/>
              </w:rPr>
              <w:t>-    Details and protocols for any on-site refuelling and details of the disposal of these materials;</w:t>
            </w:r>
          </w:p>
          <w:p w:rsidR="004C4B64" w:rsidRDefault="004C4B64" w:rsidP="0039097E">
            <w:pPr>
              <w:spacing w:after="120"/>
              <w:ind w:left="1065" w:hanging="284"/>
              <w:jc w:val="both"/>
              <w:rPr>
                <w:rFonts w:cs="Calibri"/>
              </w:rPr>
            </w:pPr>
            <w:r>
              <w:rPr>
                <w:rFonts w:cs="Calibri"/>
              </w:rPr>
              <w:t xml:space="preserve">-    Details during the construction phase to ensure that there is a qualified ecologist present on site to supervise any clearing works and identify fauna roosting or nesting habitat in accordance with best practice methods to relocate fauna in a sensitive manner. Furthermore, the Plan is to incorporate all mitigation measures during clearing as proposed in the SEE.  </w:t>
            </w:r>
          </w:p>
          <w:p w:rsidR="004C4B64" w:rsidRDefault="004C4B64" w:rsidP="004C4B64">
            <w:pPr>
              <w:numPr>
                <w:ilvl w:val="0"/>
                <w:numId w:val="12"/>
              </w:numPr>
              <w:spacing w:after="120"/>
              <w:ind w:left="781" w:hanging="425"/>
              <w:jc w:val="both"/>
              <w:rPr>
                <w:rFonts w:cs="Calibri"/>
              </w:rPr>
            </w:pPr>
            <w:r>
              <w:rPr>
                <w:rFonts w:cs="Calibri"/>
              </w:rPr>
              <w:t xml:space="preserve">Operational Environmental Management Plan (OEMP), which is to include but not limited to: </w:t>
            </w:r>
          </w:p>
          <w:p w:rsidR="004C4B64" w:rsidRDefault="004C4B64" w:rsidP="0039097E">
            <w:pPr>
              <w:spacing w:after="120"/>
              <w:ind w:left="1141" w:hanging="360"/>
              <w:jc w:val="both"/>
              <w:rPr>
                <w:rFonts w:cs="Calibri"/>
              </w:rPr>
            </w:pPr>
            <w:r>
              <w:rPr>
                <w:rFonts w:cs="Calibri"/>
              </w:rPr>
              <w:t>-   Inspection program following significant storm events, identifying rectification works required to stabilise the site, access roads and all site infrastructure;</w:t>
            </w:r>
          </w:p>
          <w:p w:rsidR="004C4B64" w:rsidRDefault="004C4B64" w:rsidP="0039097E">
            <w:pPr>
              <w:spacing w:after="120"/>
              <w:ind w:left="1141" w:hanging="360"/>
              <w:jc w:val="both"/>
              <w:rPr>
                <w:rFonts w:cs="Calibri"/>
              </w:rPr>
            </w:pPr>
            <w:r>
              <w:rPr>
                <w:rFonts w:cs="Calibri"/>
              </w:rPr>
              <w:t>-     Inspection program to repair/replace faulty panels before they may become hazardous to the environment by way of deterioration/damage to prevent any contamination from occurring either on or off site.</w:t>
            </w:r>
          </w:p>
          <w:p w:rsidR="004C4B64" w:rsidRDefault="004C4B64" w:rsidP="004C4B64">
            <w:pPr>
              <w:numPr>
                <w:ilvl w:val="0"/>
                <w:numId w:val="12"/>
              </w:numPr>
              <w:spacing w:after="120"/>
              <w:ind w:hanging="1121"/>
              <w:jc w:val="both"/>
              <w:rPr>
                <w:rFonts w:cs="Calibri"/>
              </w:rPr>
            </w:pPr>
            <w:r>
              <w:rPr>
                <w:rFonts w:cs="Calibri"/>
              </w:rPr>
              <w:t>Construction Noise and Vibration Management Plan;</w:t>
            </w:r>
          </w:p>
          <w:p w:rsidR="004C4B64" w:rsidRDefault="004C4B64" w:rsidP="004C4B64">
            <w:pPr>
              <w:numPr>
                <w:ilvl w:val="0"/>
                <w:numId w:val="12"/>
              </w:numPr>
              <w:spacing w:after="120"/>
              <w:ind w:hanging="1145"/>
              <w:jc w:val="both"/>
              <w:rPr>
                <w:rFonts w:cs="Calibri"/>
              </w:rPr>
            </w:pPr>
            <w:r>
              <w:rPr>
                <w:rFonts w:cs="Calibri"/>
              </w:rPr>
              <w:t>Biodiversity Management Plan (BMP);</w:t>
            </w:r>
          </w:p>
          <w:p w:rsidR="004C4B64" w:rsidRDefault="004C4B64" w:rsidP="004C4B64">
            <w:pPr>
              <w:numPr>
                <w:ilvl w:val="0"/>
                <w:numId w:val="12"/>
              </w:numPr>
              <w:spacing w:after="120"/>
              <w:ind w:hanging="1145"/>
              <w:jc w:val="both"/>
              <w:rPr>
                <w:rFonts w:cs="Calibri"/>
              </w:rPr>
            </w:pPr>
            <w:r>
              <w:rPr>
                <w:rFonts w:cs="Calibri"/>
              </w:rPr>
              <w:t>Bushfire Management Plan (BMP);</w:t>
            </w:r>
          </w:p>
          <w:p w:rsidR="004C4B64" w:rsidRDefault="004C4B64" w:rsidP="004C4B64">
            <w:pPr>
              <w:numPr>
                <w:ilvl w:val="0"/>
                <w:numId w:val="12"/>
              </w:numPr>
              <w:spacing w:after="120"/>
              <w:ind w:hanging="1145"/>
              <w:jc w:val="both"/>
              <w:rPr>
                <w:rFonts w:cs="Calibri"/>
              </w:rPr>
            </w:pPr>
            <w:r>
              <w:rPr>
                <w:rFonts w:cs="Calibri"/>
              </w:rPr>
              <w:t>Community Consultation Plan (CCP);</w:t>
            </w:r>
          </w:p>
          <w:p w:rsidR="004C4B64" w:rsidRDefault="004C4B64" w:rsidP="0039097E">
            <w:pPr>
              <w:jc w:val="both"/>
              <w:rPr>
                <w:rFonts w:cs="Calibri"/>
              </w:rPr>
            </w:pPr>
            <w:r>
              <w:rPr>
                <w:rFonts w:cs="Calibri"/>
              </w:rPr>
              <w:t>Such Plans are to be submitted to and a</w:t>
            </w:r>
            <w:r w:rsidRPr="001168B3">
              <w:rPr>
                <w:rFonts w:cs="Calibri"/>
              </w:rPr>
              <w:t>pprov</w:t>
            </w:r>
            <w:r>
              <w:rPr>
                <w:rFonts w:cs="Calibri"/>
              </w:rPr>
              <w:t>ed by</w:t>
            </w:r>
            <w:r w:rsidRPr="001168B3">
              <w:rPr>
                <w:rFonts w:cs="Calibri"/>
              </w:rPr>
              <w:t xml:space="preserve"> the </w:t>
            </w:r>
            <w:r>
              <w:rPr>
                <w:rFonts w:cs="Calibri"/>
              </w:rPr>
              <w:t xml:space="preserve">relevant </w:t>
            </w:r>
            <w:r w:rsidRPr="001168B3">
              <w:rPr>
                <w:rFonts w:cs="Calibri"/>
              </w:rPr>
              <w:t xml:space="preserve">certifying authority </w:t>
            </w:r>
            <w:r>
              <w:rPr>
                <w:rFonts w:cs="Calibri"/>
              </w:rPr>
              <w:t xml:space="preserve">before the issue of a Construction Certificate and implemented/adopted for the life of the development.    </w:t>
            </w:r>
          </w:p>
          <w:p w:rsidR="004C4B64" w:rsidRPr="00FE47E5" w:rsidRDefault="004C4B64" w:rsidP="0039097E">
            <w:pPr>
              <w:jc w:val="both"/>
              <w:rPr>
                <w:rFonts w:cs="Calibri"/>
              </w:rPr>
            </w:pPr>
          </w:p>
        </w:tc>
      </w:tr>
    </w:tbl>
    <w:p w:rsidR="004C4B64" w:rsidRDefault="004C4B64" w:rsidP="004C4B64">
      <w:r>
        <w:br w:type="page"/>
      </w:r>
    </w:p>
    <w:tbl>
      <w:tblPr>
        <w:tblW w:w="10031" w:type="dxa"/>
        <w:tblLook w:val="01E0" w:firstRow="1" w:lastRow="1" w:firstColumn="1" w:lastColumn="1" w:noHBand="0" w:noVBand="0"/>
      </w:tblPr>
      <w:tblGrid>
        <w:gridCol w:w="495"/>
        <w:gridCol w:w="9536"/>
      </w:tblGrid>
      <w:tr w:rsidR="004C4B64" w:rsidRPr="000A1DF7" w:rsidTr="0039097E">
        <w:tc>
          <w:tcPr>
            <w:tcW w:w="495" w:type="dxa"/>
          </w:tcPr>
          <w:p w:rsidR="004C4B64" w:rsidRDefault="004C4B64" w:rsidP="0039097E">
            <w:pPr>
              <w:rPr>
                <w:rFonts w:cs="Arial"/>
                <w:szCs w:val="22"/>
              </w:rPr>
            </w:pPr>
            <w:r>
              <w:rPr>
                <w:rFonts w:cs="Arial"/>
                <w:szCs w:val="22"/>
              </w:rPr>
              <w:lastRenderedPageBreak/>
              <w:t>10.</w:t>
            </w:r>
          </w:p>
        </w:tc>
        <w:tc>
          <w:tcPr>
            <w:tcW w:w="9536" w:type="dxa"/>
          </w:tcPr>
          <w:p w:rsidR="004C4B64" w:rsidRDefault="004C4B64" w:rsidP="0039097E">
            <w:pPr>
              <w:jc w:val="both"/>
              <w:rPr>
                <w:rFonts w:cs="Calibri"/>
              </w:rPr>
            </w:pPr>
            <w:r>
              <w:rPr>
                <w:rFonts w:cs="Calibri"/>
              </w:rPr>
              <w:t>The plans accompanying the Construction Certificate for any building related works are to demonstrate compliance with the Building Code of Australia (BCA). Plans are to be submitted to the Principal Certifying Authority for the authentication of BCA compliance and issue of a Construction Certificate.</w:t>
            </w:r>
          </w:p>
          <w:p w:rsidR="004C4B64" w:rsidRPr="000A1DF7" w:rsidRDefault="004C4B64" w:rsidP="0039097E">
            <w:pPr>
              <w:jc w:val="both"/>
              <w:rPr>
                <w:rFonts w:cs="Calibri"/>
              </w:rPr>
            </w:pPr>
            <w:r>
              <w:rPr>
                <w:rFonts w:cs="Calibri"/>
              </w:rPr>
              <w:t xml:space="preserve">  </w:t>
            </w:r>
          </w:p>
        </w:tc>
      </w:tr>
      <w:tr w:rsidR="004C4B64" w:rsidRPr="00365431" w:rsidTr="0039097E">
        <w:tc>
          <w:tcPr>
            <w:tcW w:w="495" w:type="dxa"/>
          </w:tcPr>
          <w:p w:rsidR="004C4B64" w:rsidRPr="00365431" w:rsidRDefault="004C4B64" w:rsidP="0039097E">
            <w:pPr>
              <w:rPr>
                <w:rFonts w:cs="Arial"/>
                <w:szCs w:val="22"/>
              </w:rPr>
            </w:pPr>
            <w:r>
              <w:rPr>
                <w:rFonts w:cs="Arial"/>
                <w:szCs w:val="22"/>
              </w:rPr>
              <w:t>11</w:t>
            </w:r>
            <w:r w:rsidRPr="00365431">
              <w:rPr>
                <w:rFonts w:cs="Arial"/>
                <w:szCs w:val="22"/>
              </w:rPr>
              <w:t>.</w:t>
            </w:r>
          </w:p>
        </w:tc>
        <w:tc>
          <w:tcPr>
            <w:tcW w:w="9536" w:type="dxa"/>
          </w:tcPr>
          <w:p w:rsidR="004C4B64" w:rsidRDefault="004C4B64" w:rsidP="0039097E">
            <w:pPr>
              <w:spacing w:after="120"/>
              <w:jc w:val="both"/>
              <w:rPr>
                <w:rFonts w:cs="Calibri"/>
              </w:rPr>
            </w:pPr>
            <w:r w:rsidRPr="001168B3">
              <w:rPr>
                <w:rFonts w:cs="Calibri"/>
              </w:rPr>
              <w:t>The preparation of a</w:t>
            </w:r>
            <w:r>
              <w:rPr>
                <w:rFonts w:cs="Calibri"/>
              </w:rPr>
              <w:t xml:space="preserve"> detailed Stormwater</w:t>
            </w:r>
            <w:r>
              <w:rPr>
                <w:rFonts w:cs="Calibri"/>
              </w:rPr>
              <w:t>,</w:t>
            </w:r>
            <w:r>
              <w:rPr>
                <w:rFonts w:cs="Calibri"/>
              </w:rPr>
              <w:t xml:space="preserve"> and </w:t>
            </w:r>
            <w:r w:rsidRPr="001168B3">
              <w:rPr>
                <w:rFonts w:cs="Calibri"/>
              </w:rPr>
              <w:t xml:space="preserve">Erosion and Sediment Control Plan (ESCP) and accompanying specifications for </w:t>
            </w:r>
            <w:r>
              <w:rPr>
                <w:rFonts w:cs="Calibri"/>
              </w:rPr>
              <w:t xml:space="preserve">both the </w:t>
            </w:r>
            <w:r w:rsidRPr="001168B3">
              <w:rPr>
                <w:rFonts w:cs="Calibri"/>
              </w:rPr>
              <w:t>c</w:t>
            </w:r>
            <w:r>
              <w:rPr>
                <w:rFonts w:cs="Calibri"/>
              </w:rPr>
              <w:t>onstruction phase of the works and also the operation and decommissioning phases, shall be submitted to and a</w:t>
            </w:r>
            <w:r w:rsidRPr="001168B3">
              <w:rPr>
                <w:rFonts w:cs="Calibri"/>
              </w:rPr>
              <w:t>pprov</w:t>
            </w:r>
            <w:r>
              <w:rPr>
                <w:rFonts w:cs="Calibri"/>
              </w:rPr>
              <w:t>ed by</w:t>
            </w:r>
            <w:r w:rsidRPr="001168B3">
              <w:rPr>
                <w:rFonts w:cs="Calibri"/>
              </w:rPr>
              <w:t xml:space="preserve"> the </w:t>
            </w:r>
            <w:r>
              <w:rPr>
                <w:rFonts w:cs="Calibri"/>
              </w:rPr>
              <w:t xml:space="preserve">relevant </w:t>
            </w:r>
            <w:r w:rsidRPr="001168B3">
              <w:rPr>
                <w:rFonts w:cs="Calibri"/>
              </w:rPr>
              <w:t xml:space="preserve">certifying authority </w:t>
            </w:r>
            <w:r>
              <w:rPr>
                <w:rFonts w:cs="Calibri"/>
              </w:rPr>
              <w:t xml:space="preserve">before the issue of a Construction Certificate for the </w:t>
            </w:r>
            <w:r w:rsidRPr="001168B3">
              <w:rPr>
                <w:rFonts w:cs="Calibri"/>
              </w:rPr>
              <w:t>development.</w:t>
            </w:r>
          </w:p>
          <w:p w:rsidR="004C4B64" w:rsidRPr="001168B3" w:rsidRDefault="004C4B64" w:rsidP="0039097E">
            <w:pPr>
              <w:spacing w:after="120"/>
              <w:jc w:val="both"/>
              <w:rPr>
                <w:rFonts w:cs="Calibri"/>
              </w:rPr>
            </w:pPr>
            <w:r w:rsidRPr="001168B3">
              <w:rPr>
                <w:rFonts w:cs="Calibri"/>
              </w:rPr>
              <w:t xml:space="preserve">The approved ESCP controls shall be implemented, inspected and approved </w:t>
            </w:r>
            <w:r>
              <w:rPr>
                <w:rFonts w:cs="Calibri"/>
              </w:rPr>
              <w:t xml:space="preserve">by the Certifier </w:t>
            </w:r>
            <w:r w:rsidRPr="001168B3">
              <w:rPr>
                <w:rFonts w:cs="Calibri"/>
              </w:rPr>
              <w:t>prior to the commencement of any site works and maintained for the life of the construction</w:t>
            </w:r>
            <w:r>
              <w:rPr>
                <w:rFonts w:cs="Calibri"/>
              </w:rPr>
              <w:t>/operation</w:t>
            </w:r>
            <w:r w:rsidRPr="001168B3">
              <w:rPr>
                <w:rFonts w:cs="Calibri"/>
              </w:rPr>
              <w:t xml:space="preserve"> p</w:t>
            </w:r>
            <w:r>
              <w:rPr>
                <w:rFonts w:cs="Calibri"/>
              </w:rPr>
              <w:t xml:space="preserve">hase </w:t>
            </w:r>
            <w:r w:rsidRPr="001168B3">
              <w:rPr>
                <w:rFonts w:cs="Calibri"/>
              </w:rPr>
              <w:t>and until revegetation measures have taken hold.  The ESCP shall include, but not be limited to:</w:t>
            </w:r>
          </w:p>
          <w:p w:rsidR="004C4B64" w:rsidRDefault="004C4B64" w:rsidP="004C4B64">
            <w:pPr>
              <w:numPr>
                <w:ilvl w:val="0"/>
                <w:numId w:val="2"/>
              </w:numPr>
              <w:spacing w:after="120"/>
              <w:ind w:left="567" w:hanging="425"/>
              <w:jc w:val="both"/>
              <w:rPr>
                <w:rFonts w:cs="Calibri"/>
              </w:rPr>
            </w:pPr>
            <w:r>
              <w:rPr>
                <w:rFonts w:cs="Calibri"/>
              </w:rPr>
              <w:t>Inclusion of the recommendations of the Agronomy Report (</w:t>
            </w:r>
            <w:r>
              <w:rPr>
                <w:rFonts w:cs="Calibri"/>
                <w:i/>
              </w:rPr>
              <w:t>Agronomy Report – “</w:t>
            </w:r>
            <w:proofErr w:type="spellStart"/>
            <w:r>
              <w:rPr>
                <w:rFonts w:cs="Calibri"/>
                <w:i/>
              </w:rPr>
              <w:t>Sharraloy</w:t>
            </w:r>
            <w:proofErr w:type="spellEnd"/>
            <w:r>
              <w:rPr>
                <w:rFonts w:cs="Calibri"/>
                <w:i/>
              </w:rPr>
              <w:t xml:space="preserve">”, </w:t>
            </w:r>
            <w:proofErr w:type="spellStart"/>
            <w:r>
              <w:rPr>
                <w:rFonts w:cs="Calibri"/>
                <w:i/>
              </w:rPr>
              <w:t>GrazAg</w:t>
            </w:r>
            <w:proofErr w:type="spellEnd"/>
            <w:r>
              <w:rPr>
                <w:rFonts w:cs="Calibri"/>
                <w:i/>
              </w:rPr>
              <w:t>, October 2019)</w:t>
            </w:r>
            <w:r>
              <w:rPr>
                <w:rFonts w:cs="Calibri"/>
              </w:rPr>
              <w:t>;</w:t>
            </w:r>
          </w:p>
          <w:p w:rsidR="004C4B64" w:rsidRDefault="004C4B64" w:rsidP="004C4B64">
            <w:pPr>
              <w:numPr>
                <w:ilvl w:val="0"/>
                <w:numId w:val="2"/>
              </w:numPr>
              <w:spacing w:after="120"/>
              <w:ind w:left="567" w:hanging="425"/>
              <w:jc w:val="both"/>
              <w:rPr>
                <w:rFonts w:cs="Calibri"/>
              </w:rPr>
            </w:pPr>
            <w:r>
              <w:rPr>
                <w:rFonts w:cs="Calibri"/>
              </w:rPr>
              <w:t>Inclusion of the recommendations of the Hydrology Report (</w:t>
            </w:r>
            <w:r w:rsidRPr="005A3D45">
              <w:rPr>
                <w:rFonts w:cs="Calibri"/>
                <w:i/>
              </w:rPr>
              <w:t>Stringybark Solar Farm Hydrology Assessment, Eco Logical Australia, October 2019</w:t>
            </w:r>
            <w:r w:rsidRPr="005A3D45">
              <w:rPr>
                <w:rFonts w:cs="Calibri"/>
              </w:rPr>
              <w:t>)</w:t>
            </w:r>
            <w:r>
              <w:rPr>
                <w:rFonts w:cs="Calibri"/>
              </w:rPr>
              <w:t>;</w:t>
            </w:r>
          </w:p>
          <w:p w:rsidR="004C4B64" w:rsidRPr="001168B3" w:rsidRDefault="004C4B64" w:rsidP="004C4B64">
            <w:pPr>
              <w:numPr>
                <w:ilvl w:val="0"/>
                <w:numId w:val="2"/>
              </w:numPr>
              <w:spacing w:after="120"/>
              <w:ind w:left="567" w:hanging="425"/>
              <w:jc w:val="both"/>
              <w:rPr>
                <w:rFonts w:cs="Calibri"/>
              </w:rPr>
            </w:pPr>
            <w:r w:rsidRPr="001168B3">
              <w:rPr>
                <w:rFonts w:cs="Calibri"/>
              </w:rPr>
              <w:t>Provision for the diversion of runoff around disturbed areas;</w:t>
            </w:r>
          </w:p>
          <w:p w:rsidR="004C4B64" w:rsidRPr="001168B3" w:rsidRDefault="004C4B64" w:rsidP="004C4B64">
            <w:pPr>
              <w:numPr>
                <w:ilvl w:val="0"/>
                <w:numId w:val="2"/>
              </w:numPr>
              <w:spacing w:after="120"/>
              <w:ind w:left="567" w:hanging="425"/>
              <w:jc w:val="both"/>
              <w:rPr>
                <w:rFonts w:cs="Calibri"/>
              </w:rPr>
            </w:pPr>
            <w:r w:rsidRPr="001168B3">
              <w:rPr>
                <w:rFonts w:cs="Calibri"/>
              </w:rPr>
              <w:t>Location and type of proposed erosion and sediment control measures;</w:t>
            </w:r>
          </w:p>
          <w:p w:rsidR="004C4B64" w:rsidRPr="001168B3" w:rsidRDefault="004C4B64" w:rsidP="004C4B64">
            <w:pPr>
              <w:numPr>
                <w:ilvl w:val="0"/>
                <w:numId w:val="2"/>
              </w:numPr>
              <w:spacing w:after="120"/>
              <w:ind w:left="567" w:hanging="425"/>
              <w:jc w:val="both"/>
              <w:rPr>
                <w:rFonts w:cs="Calibri"/>
              </w:rPr>
            </w:pPr>
            <w:r w:rsidRPr="001168B3">
              <w:rPr>
                <w:rFonts w:cs="Calibri"/>
              </w:rPr>
              <w:t>Location of and proposed means of stabilisation of site access;</w:t>
            </w:r>
          </w:p>
          <w:p w:rsidR="004C4B64" w:rsidRPr="001168B3" w:rsidRDefault="004C4B64" w:rsidP="004C4B64">
            <w:pPr>
              <w:numPr>
                <w:ilvl w:val="0"/>
                <w:numId w:val="2"/>
              </w:numPr>
              <w:spacing w:after="120"/>
              <w:ind w:left="567" w:hanging="425"/>
              <w:jc w:val="both"/>
              <w:rPr>
                <w:rFonts w:cs="Calibri"/>
              </w:rPr>
            </w:pPr>
            <w:r w:rsidRPr="001168B3">
              <w:rPr>
                <w:rFonts w:cs="Calibri"/>
              </w:rPr>
              <w:t>Approximate location of site sheds and stockpiles;</w:t>
            </w:r>
          </w:p>
          <w:p w:rsidR="004C4B64" w:rsidRPr="001168B3" w:rsidRDefault="004C4B64" w:rsidP="004C4B64">
            <w:pPr>
              <w:numPr>
                <w:ilvl w:val="0"/>
                <w:numId w:val="2"/>
              </w:numPr>
              <w:spacing w:after="120"/>
              <w:ind w:left="567" w:hanging="425"/>
              <w:jc w:val="both"/>
              <w:rPr>
                <w:rFonts w:cs="Calibri"/>
              </w:rPr>
            </w:pPr>
            <w:r w:rsidRPr="001168B3">
              <w:rPr>
                <w:rFonts w:cs="Calibri"/>
              </w:rPr>
              <w:t>Proposed staging of construction and ESCP measures;</w:t>
            </w:r>
          </w:p>
          <w:p w:rsidR="004C4B64" w:rsidRDefault="004C4B64" w:rsidP="004C4B64">
            <w:pPr>
              <w:numPr>
                <w:ilvl w:val="0"/>
                <w:numId w:val="2"/>
              </w:numPr>
              <w:spacing w:after="120"/>
              <w:ind w:left="567" w:hanging="425"/>
              <w:jc w:val="both"/>
              <w:rPr>
                <w:rFonts w:cs="Calibri"/>
              </w:rPr>
            </w:pPr>
            <w:r w:rsidRPr="001168B3">
              <w:rPr>
                <w:rFonts w:cs="Calibri"/>
              </w:rPr>
              <w:t>Clearance of sediment traps on a regular basis and after major storms;</w:t>
            </w:r>
          </w:p>
          <w:p w:rsidR="004C4B64" w:rsidRDefault="004C4B64" w:rsidP="004C4B64">
            <w:pPr>
              <w:numPr>
                <w:ilvl w:val="0"/>
                <w:numId w:val="2"/>
              </w:numPr>
              <w:spacing w:after="120"/>
              <w:ind w:left="567" w:hanging="425"/>
              <w:jc w:val="both"/>
              <w:rPr>
                <w:rFonts w:cs="Calibri"/>
              </w:rPr>
            </w:pPr>
            <w:r>
              <w:rPr>
                <w:rFonts w:cs="Calibri"/>
              </w:rPr>
              <w:t xml:space="preserve">Details to be implemented to prevent increased runoff and/or sedimentation impacting on any adjoining properties, gullies and drainage lines;  </w:t>
            </w:r>
          </w:p>
          <w:p w:rsidR="004C4B64" w:rsidRDefault="004C4B64" w:rsidP="004C4B64">
            <w:pPr>
              <w:numPr>
                <w:ilvl w:val="0"/>
                <w:numId w:val="2"/>
              </w:numPr>
              <w:spacing w:after="120"/>
              <w:ind w:left="567" w:hanging="425"/>
              <w:jc w:val="both"/>
              <w:rPr>
                <w:rFonts w:cs="Calibri"/>
              </w:rPr>
            </w:pPr>
            <w:r>
              <w:rPr>
                <w:rFonts w:cs="Calibri"/>
              </w:rPr>
              <w:t>Details of routine erosion monitoring for the life of the development, including but not limited to the monitoring of any scarring beneath the panel arrays and along access tracks and waterways;</w:t>
            </w:r>
          </w:p>
          <w:p w:rsidR="004C4B64" w:rsidRDefault="004C4B64" w:rsidP="004C4B64">
            <w:pPr>
              <w:numPr>
                <w:ilvl w:val="0"/>
                <w:numId w:val="2"/>
              </w:numPr>
              <w:spacing w:after="120"/>
              <w:ind w:left="567" w:hanging="425"/>
              <w:jc w:val="both"/>
              <w:rPr>
                <w:rFonts w:cs="Calibri"/>
              </w:rPr>
            </w:pPr>
            <w:r>
              <w:rPr>
                <w:rFonts w:cs="Calibri"/>
              </w:rPr>
              <w:t xml:space="preserve">Regular inspection program; </w:t>
            </w:r>
          </w:p>
          <w:p w:rsidR="004C4B64" w:rsidRPr="001168B3" w:rsidRDefault="004C4B64" w:rsidP="004C4B64">
            <w:pPr>
              <w:numPr>
                <w:ilvl w:val="0"/>
                <w:numId w:val="2"/>
              </w:numPr>
              <w:spacing w:after="120"/>
              <w:ind w:left="567" w:hanging="425"/>
              <w:jc w:val="both"/>
              <w:rPr>
                <w:rFonts w:cs="Calibri"/>
              </w:rPr>
            </w:pPr>
            <w:r>
              <w:rPr>
                <w:rFonts w:cs="Calibri"/>
              </w:rPr>
              <w:t xml:space="preserve">Details of measures during decommissioning of the site; </w:t>
            </w:r>
          </w:p>
          <w:p w:rsidR="004C4B64" w:rsidRPr="001168B3" w:rsidRDefault="004C4B64" w:rsidP="004C4B64">
            <w:pPr>
              <w:numPr>
                <w:ilvl w:val="0"/>
                <w:numId w:val="2"/>
              </w:numPr>
              <w:spacing w:after="120"/>
              <w:ind w:left="567" w:hanging="425"/>
              <w:jc w:val="both"/>
              <w:rPr>
                <w:rFonts w:cs="Calibri"/>
              </w:rPr>
            </w:pPr>
            <w:r w:rsidRPr="001168B3">
              <w:rPr>
                <w:rFonts w:cs="Calibri"/>
              </w:rPr>
              <w:t xml:space="preserve">Proposed site rehabilitation measures, including seeding of all bare un-grassed areas and </w:t>
            </w:r>
            <w:proofErr w:type="spellStart"/>
            <w:r w:rsidRPr="001168B3">
              <w:rPr>
                <w:rFonts w:cs="Calibri"/>
              </w:rPr>
              <w:t>turfing</w:t>
            </w:r>
            <w:proofErr w:type="spellEnd"/>
            <w:r w:rsidRPr="001168B3">
              <w:rPr>
                <w:rFonts w:cs="Calibri"/>
              </w:rPr>
              <w:t xml:space="preserve"> where erosion or scouring is likely to occur;</w:t>
            </w:r>
          </w:p>
          <w:p w:rsidR="004C4B64" w:rsidRPr="000F3A3B" w:rsidRDefault="004C4B64" w:rsidP="004C4B64">
            <w:pPr>
              <w:numPr>
                <w:ilvl w:val="0"/>
                <w:numId w:val="2"/>
              </w:numPr>
              <w:spacing w:after="120"/>
              <w:ind w:left="567" w:hanging="425"/>
              <w:jc w:val="both"/>
              <w:rPr>
                <w:rFonts w:cs="Calibri"/>
              </w:rPr>
            </w:pPr>
            <w:r w:rsidRPr="001168B3">
              <w:rPr>
                <w:rFonts w:cs="Calibri"/>
              </w:rPr>
              <w:t>Standard construction drawings for proposed erosion and sediment control measures.</w:t>
            </w:r>
          </w:p>
          <w:p w:rsidR="004C4B64" w:rsidRPr="001168B3" w:rsidRDefault="004C4B64" w:rsidP="0039097E">
            <w:pPr>
              <w:jc w:val="both"/>
              <w:rPr>
                <w:rFonts w:cs="Calibri"/>
              </w:rPr>
            </w:pPr>
            <w:r w:rsidRPr="001168B3">
              <w:rPr>
                <w:rFonts w:cs="Calibri"/>
                <w:i/>
              </w:rPr>
              <w:t>ADVISING: Failure to take effective action may render the developer liable to prosecution under the NSW Protection of the Environment Operations Act.</w:t>
            </w:r>
          </w:p>
          <w:p w:rsidR="004C4B64" w:rsidRPr="00365431" w:rsidRDefault="004C4B64" w:rsidP="0039097E">
            <w:pPr>
              <w:jc w:val="both"/>
              <w:rPr>
                <w:rFonts w:cs="Arial"/>
                <w:vanish/>
                <w:szCs w:val="22"/>
              </w:rPr>
            </w:pPr>
          </w:p>
        </w:tc>
      </w:tr>
    </w:tbl>
    <w:p w:rsidR="004C4B64" w:rsidRPr="00DA4106" w:rsidRDefault="004C4B64" w:rsidP="004C4B64">
      <w:pPr>
        <w:rPr>
          <w:sz w:val="2"/>
          <w:szCs w:val="2"/>
        </w:rPr>
      </w:pPr>
    </w:p>
    <w:p w:rsidR="004C4B64" w:rsidRDefault="004C4B64" w:rsidP="004C4B64">
      <w:r>
        <w:br w:type="page"/>
      </w:r>
    </w:p>
    <w:tbl>
      <w:tblPr>
        <w:tblW w:w="10207" w:type="dxa"/>
        <w:tblInd w:w="-176" w:type="dxa"/>
        <w:tblLook w:val="01E0" w:firstRow="1" w:lastRow="1" w:firstColumn="1" w:lastColumn="1" w:noHBand="0" w:noVBand="0"/>
      </w:tblPr>
      <w:tblGrid>
        <w:gridCol w:w="142"/>
        <w:gridCol w:w="529"/>
        <w:gridCol w:w="9536"/>
      </w:tblGrid>
      <w:tr w:rsidR="004C4B64" w:rsidRPr="00FE47E5" w:rsidTr="0039097E">
        <w:trPr>
          <w:gridBefore w:val="1"/>
          <w:wBefore w:w="142" w:type="dxa"/>
        </w:trPr>
        <w:tc>
          <w:tcPr>
            <w:tcW w:w="529" w:type="dxa"/>
          </w:tcPr>
          <w:p w:rsidR="004C4B64" w:rsidRDefault="004C4B64" w:rsidP="0039097E">
            <w:pPr>
              <w:rPr>
                <w:rFonts w:cs="Arial"/>
                <w:szCs w:val="22"/>
              </w:rPr>
            </w:pPr>
            <w:r>
              <w:rPr>
                <w:rFonts w:cs="Arial"/>
                <w:szCs w:val="22"/>
              </w:rPr>
              <w:lastRenderedPageBreak/>
              <w:t>12.</w:t>
            </w:r>
          </w:p>
        </w:tc>
        <w:tc>
          <w:tcPr>
            <w:tcW w:w="9536" w:type="dxa"/>
          </w:tcPr>
          <w:p w:rsidR="004C4B64" w:rsidRDefault="004C4B64" w:rsidP="0039097E">
            <w:pPr>
              <w:spacing w:after="120"/>
              <w:jc w:val="both"/>
              <w:rPr>
                <w:rFonts w:cs="Calibri"/>
              </w:rPr>
            </w:pPr>
            <w:r w:rsidRPr="00FE47E5">
              <w:rPr>
                <w:rFonts w:cs="Calibri"/>
              </w:rPr>
              <w:t xml:space="preserve">The Applicant is to prepare and submit a </w:t>
            </w:r>
            <w:r>
              <w:rPr>
                <w:rFonts w:cs="Calibri"/>
              </w:rPr>
              <w:t xml:space="preserve">detailed </w:t>
            </w:r>
            <w:r w:rsidRPr="00FE47E5">
              <w:rPr>
                <w:rFonts w:cs="Calibri"/>
              </w:rPr>
              <w:t xml:space="preserve">Waste Management Plan (WMP) outlining </w:t>
            </w:r>
            <w:r>
              <w:rPr>
                <w:rFonts w:cs="Calibri"/>
              </w:rPr>
              <w:t xml:space="preserve">all </w:t>
            </w:r>
            <w:r w:rsidRPr="00FE47E5">
              <w:rPr>
                <w:rFonts w:cs="Calibri"/>
              </w:rPr>
              <w:t xml:space="preserve">waste management principles and practices relevant to the proposed </w:t>
            </w:r>
            <w:r>
              <w:rPr>
                <w:rFonts w:cs="Calibri"/>
              </w:rPr>
              <w:t>development and to meet the objectives as set out in the SEE, to reduce waste and recover resources.</w:t>
            </w:r>
          </w:p>
          <w:p w:rsidR="004C4B64" w:rsidRDefault="004C4B64" w:rsidP="0039097E">
            <w:pPr>
              <w:spacing w:after="120"/>
              <w:jc w:val="both"/>
              <w:rPr>
                <w:rFonts w:cs="Calibri"/>
              </w:rPr>
            </w:pPr>
            <w:r>
              <w:rPr>
                <w:rFonts w:cs="Calibri"/>
              </w:rPr>
              <w:t xml:space="preserve">The Plan must implement best practice measures during all activity on site for the life of the development, to ensure that all waste products such as but not limited to, cardboard, packaging/wrapping, plastics, panels and/or any other infrastructure related to the development is sorted and recycled to minimise recycled materials from being disposed with other bulk waste to landfill and identify opportunities to maximise reuse. </w:t>
            </w:r>
          </w:p>
          <w:p w:rsidR="004C4B64" w:rsidRDefault="004C4B64" w:rsidP="0039097E">
            <w:pPr>
              <w:spacing w:after="120"/>
              <w:jc w:val="both"/>
              <w:rPr>
                <w:rFonts w:cs="Calibri"/>
              </w:rPr>
            </w:pPr>
            <w:r>
              <w:rPr>
                <w:rFonts w:cs="Calibri"/>
              </w:rPr>
              <w:t xml:space="preserve">In this regard, the Plan must demonstrate procedures to be implemented to ensure that waste products are separated and recycled at the appropriate facilities.   </w:t>
            </w:r>
          </w:p>
          <w:p w:rsidR="004C4B64" w:rsidRDefault="004C4B64" w:rsidP="0039097E">
            <w:pPr>
              <w:jc w:val="both"/>
              <w:rPr>
                <w:rFonts w:cs="Calibri"/>
              </w:rPr>
            </w:pPr>
            <w:r w:rsidRPr="00FE47E5">
              <w:rPr>
                <w:rFonts w:cs="Calibri"/>
              </w:rPr>
              <w:t>Full details are to be provided to the satisfaction of the relevant Certifying Authority prior to the release of a Construction Certificate for the development.</w:t>
            </w:r>
          </w:p>
          <w:p w:rsidR="004C4B64" w:rsidRPr="00FE47E5" w:rsidRDefault="004C4B64" w:rsidP="0039097E">
            <w:pPr>
              <w:jc w:val="both"/>
              <w:rPr>
                <w:rFonts w:cs="Calibri"/>
              </w:rPr>
            </w:pPr>
          </w:p>
        </w:tc>
      </w:tr>
      <w:tr w:rsidR="004C4B64" w:rsidRPr="00365431" w:rsidTr="0039097E">
        <w:tc>
          <w:tcPr>
            <w:tcW w:w="671" w:type="dxa"/>
            <w:gridSpan w:val="2"/>
          </w:tcPr>
          <w:p w:rsidR="004C4B64" w:rsidRPr="00365431" w:rsidRDefault="004C4B64" w:rsidP="0039097E">
            <w:pPr>
              <w:rPr>
                <w:rFonts w:cs="Arial"/>
                <w:szCs w:val="22"/>
              </w:rPr>
            </w:pPr>
            <w:r>
              <w:t xml:space="preserve"> 13</w:t>
            </w:r>
            <w:r w:rsidRPr="00365431">
              <w:rPr>
                <w:rFonts w:cs="Arial"/>
                <w:szCs w:val="22"/>
              </w:rPr>
              <w:t>.</w:t>
            </w:r>
          </w:p>
        </w:tc>
        <w:tc>
          <w:tcPr>
            <w:tcW w:w="9536" w:type="dxa"/>
          </w:tcPr>
          <w:p w:rsidR="004C4B64" w:rsidRPr="00493330" w:rsidRDefault="004C4B64" w:rsidP="0039097E">
            <w:pPr>
              <w:spacing w:after="120"/>
              <w:jc w:val="both"/>
              <w:rPr>
                <w:rFonts w:cs="Calibri"/>
              </w:rPr>
            </w:pPr>
            <w:r>
              <w:rPr>
                <w:rFonts w:cs="Calibri"/>
              </w:rPr>
              <w:t>S</w:t>
            </w:r>
            <w:r w:rsidRPr="00493330">
              <w:rPr>
                <w:rFonts w:cs="Calibri"/>
              </w:rPr>
              <w:t xml:space="preserve">ubmission of a </w:t>
            </w:r>
            <w:r w:rsidRPr="002B560C">
              <w:rPr>
                <w:rFonts w:cs="Calibri"/>
              </w:rPr>
              <w:t xml:space="preserve">detailed Construction Management </w:t>
            </w:r>
            <w:proofErr w:type="gramStart"/>
            <w:r w:rsidRPr="002B560C">
              <w:rPr>
                <w:rFonts w:cs="Calibri"/>
              </w:rPr>
              <w:t>Plan</w:t>
            </w:r>
            <w:r>
              <w:rPr>
                <w:rFonts w:cs="Calibri"/>
              </w:rPr>
              <w:t>,</w:t>
            </w:r>
            <w:proofErr w:type="gramEnd"/>
            <w:r>
              <w:rPr>
                <w:rFonts w:cs="Calibri"/>
              </w:rPr>
              <w:t xml:space="preserve"> shall be submitted to and a</w:t>
            </w:r>
            <w:r w:rsidRPr="001168B3">
              <w:rPr>
                <w:rFonts w:cs="Calibri"/>
              </w:rPr>
              <w:t>pprov</w:t>
            </w:r>
            <w:r>
              <w:rPr>
                <w:rFonts w:cs="Calibri"/>
              </w:rPr>
              <w:t>ed by</w:t>
            </w:r>
            <w:r w:rsidRPr="001168B3">
              <w:rPr>
                <w:rFonts w:cs="Calibri"/>
              </w:rPr>
              <w:t xml:space="preserve"> the </w:t>
            </w:r>
            <w:r>
              <w:rPr>
                <w:rFonts w:cs="Calibri"/>
              </w:rPr>
              <w:t xml:space="preserve">relevant </w:t>
            </w:r>
            <w:r w:rsidRPr="001168B3">
              <w:rPr>
                <w:rFonts w:cs="Calibri"/>
              </w:rPr>
              <w:t xml:space="preserve">certifying authority </w:t>
            </w:r>
            <w:r>
              <w:rPr>
                <w:rFonts w:cs="Calibri"/>
              </w:rPr>
              <w:t xml:space="preserve">before the issue of a Construction Certificate for the </w:t>
            </w:r>
            <w:r w:rsidRPr="001168B3">
              <w:rPr>
                <w:rFonts w:cs="Calibri"/>
              </w:rPr>
              <w:t>development</w:t>
            </w:r>
            <w:r w:rsidRPr="002B560C">
              <w:rPr>
                <w:rFonts w:cs="Calibri"/>
              </w:rPr>
              <w:t>, to ensure that work is undertaken safely and to minimise nuisance to the surrounding area during all construction/work on site. This Plan shall include, as a</w:t>
            </w:r>
            <w:r>
              <w:rPr>
                <w:rFonts w:cs="Calibri"/>
              </w:rPr>
              <w:t xml:space="preserve"> minimum</w:t>
            </w:r>
            <w:r w:rsidRPr="00493330">
              <w:rPr>
                <w:rFonts w:cs="Calibri"/>
              </w:rPr>
              <w:t>:</w:t>
            </w:r>
          </w:p>
          <w:p w:rsidR="004C4B64" w:rsidRPr="00493330" w:rsidRDefault="004C4B64" w:rsidP="004C4B64">
            <w:pPr>
              <w:pStyle w:val="BodyTextIndent"/>
              <w:numPr>
                <w:ilvl w:val="0"/>
                <w:numId w:val="3"/>
              </w:numPr>
              <w:spacing w:after="120"/>
              <w:ind w:left="567" w:hanging="425"/>
              <w:rPr>
                <w:rFonts w:cs="Calibri"/>
                <w:szCs w:val="22"/>
              </w:rPr>
            </w:pPr>
            <w:r w:rsidRPr="00493330">
              <w:rPr>
                <w:rFonts w:cs="Calibri"/>
                <w:szCs w:val="22"/>
              </w:rPr>
              <w:t>Off-street parking for employees, contractors, sub-contractors and visitors to the site.</w:t>
            </w:r>
          </w:p>
          <w:p w:rsidR="004C4B64" w:rsidRDefault="004C4B64" w:rsidP="004C4B64">
            <w:pPr>
              <w:pStyle w:val="BodyTextIndent"/>
              <w:numPr>
                <w:ilvl w:val="0"/>
                <w:numId w:val="3"/>
              </w:numPr>
              <w:spacing w:after="120"/>
              <w:ind w:left="567" w:hanging="425"/>
              <w:rPr>
                <w:rFonts w:cs="Calibri"/>
                <w:szCs w:val="22"/>
              </w:rPr>
            </w:pPr>
            <w:r w:rsidRPr="00493330">
              <w:rPr>
                <w:rFonts w:cs="Calibri"/>
                <w:szCs w:val="22"/>
              </w:rPr>
              <w:t>Pub</w:t>
            </w:r>
            <w:r>
              <w:rPr>
                <w:rFonts w:cs="Calibri"/>
                <w:szCs w:val="22"/>
              </w:rPr>
              <w:t>lic parking during construction;</w:t>
            </w:r>
          </w:p>
          <w:p w:rsidR="004C4B64" w:rsidRPr="00493330" w:rsidRDefault="004C4B64" w:rsidP="004C4B64">
            <w:pPr>
              <w:pStyle w:val="BodyTextIndent"/>
              <w:numPr>
                <w:ilvl w:val="0"/>
                <w:numId w:val="3"/>
              </w:numPr>
              <w:spacing w:after="120"/>
              <w:ind w:left="567" w:hanging="425"/>
              <w:rPr>
                <w:rFonts w:cs="Calibri"/>
                <w:szCs w:val="22"/>
              </w:rPr>
            </w:pPr>
            <w:r>
              <w:rPr>
                <w:rFonts w:cs="Calibri"/>
                <w:szCs w:val="22"/>
              </w:rPr>
              <w:t>Mini bus collection site and off-site parking arrangements for contractors/construction workers;</w:t>
            </w:r>
          </w:p>
          <w:p w:rsidR="004C4B64" w:rsidRPr="00493330" w:rsidRDefault="004C4B64" w:rsidP="004C4B64">
            <w:pPr>
              <w:pStyle w:val="BodyTextIndent"/>
              <w:numPr>
                <w:ilvl w:val="0"/>
                <w:numId w:val="3"/>
              </w:numPr>
              <w:spacing w:after="120"/>
              <w:ind w:left="567" w:hanging="425"/>
              <w:rPr>
                <w:rFonts w:cs="Calibri"/>
                <w:szCs w:val="22"/>
              </w:rPr>
            </w:pPr>
            <w:r w:rsidRPr="00493330">
              <w:rPr>
                <w:rFonts w:cs="Calibri"/>
                <w:szCs w:val="22"/>
              </w:rPr>
              <w:t>Site access for construction vehicles and eq</w:t>
            </w:r>
            <w:r>
              <w:rPr>
                <w:rFonts w:cs="Calibri"/>
                <w:szCs w:val="22"/>
              </w:rPr>
              <w:t>uipment;</w:t>
            </w:r>
          </w:p>
          <w:p w:rsidR="004C4B64" w:rsidRPr="00493330" w:rsidRDefault="004C4B64" w:rsidP="004C4B64">
            <w:pPr>
              <w:pStyle w:val="BodyTextIndent"/>
              <w:numPr>
                <w:ilvl w:val="0"/>
                <w:numId w:val="3"/>
              </w:numPr>
              <w:spacing w:after="120"/>
              <w:ind w:left="567" w:hanging="425"/>
              <w:rPr>
                <w:rFonts w:cs="Calibri"/>
                <w:szCs w:val="22"/>
              </w:rPr>
            </w:pPr>
            <w:r w:rsidRPr="00493330">
              <w:rPr>
                <w:rFonts w:cs="Calibri"/>
                <w:szCs w:val="22"/>
              </w:rPr>
              <w:t>Storage and removal str</w:t>
            </w:r>
            <w:r>
              <w:rPr>
                <w:rFonts w:cs="Calibri"/>
                <w:szCs w:val="22"/>
              </w:rPr>
              <w:t>ategies for construction wastes;</w:t>
            </w:r>
          </w:p>
          <w:p w:rsidR="004C4B64" w:rsidRPr="00493330" w:rsidRDefault="004C4B64" w:rsidP="004C4B64">
            <w:pPr>
              <w:pStyle w:val="BodyTextIndent"/>
              <w:numPr>
                <w:ilvl w:val="0"/>
                <w:numId w:val="3"/>
              </w:numPr>
              <w:spacing w:after="120"/>
              <w:ind w:left="567" w:hanging="425"/>
              <w:rPr>
                <w:rFonts w:cs="Calibri"/>
                <w:szCs w:val="22"/>
              </w:rPr>
            </w:pPr>
            <w:r w:rsidRPr="00493330">
              <w:rPr>
                <w:rFonts w:cs="Calibri"/>
                <w:szCs w:val="22"/>
              </w:rPr>
              <w:t>Const</w:t>
            </w:r>
            <w:r>
              <w:rPr>
                <w:rFonts w:cs="Calibri"/>
                <w:szCs w:val="22"/>
              </w:rPr>
              <w:t>ruction Traffic Management Plan;</w:t>
            </w:r>
          </w:p>
          <w:p w:rsidR="004C4B64" w:rsidRPr="00493330" w:rsidRDefault="004C4B64" w:rsidP="004C4B64">
            <w:pPr>
              <w:pStyle w:val="BodyTextIndent"/>
              <w:numPr>
                <w:ilvl w:val="0"/>
                <w:numId w:val="3"/>
              </w:numPr>
              <w:spacing w:after="120"/>
              <w:ind w:left="567" w:hanging="425"/>
              <w:rPr>
                <w:rFonts w:cs="Calibri"/>
                <w:szCs w:val="22"/>
              </w:rPr>
            </w:pPr>
            <w:r w:rsidRPr="00493330">
              <w:rPr>
                <w:rFonts w:cs="Calibri"/>
                <w:szCs w:val="22"/>
              </w:rPr>
              <w:t>Provision of sanitary amenities and ab</w:t>
            </w:r>
            <w:r>
              <w:rPr>
                <w:rFonts w:cs="Calibri"/>
                <w:szCs w:val="22"/>
              </w:rPr>
              <w:t>lution facilities for employees;</w:t>
            </w:r>
          </w:p>
          <w:p w:rsidR="004C4B64" w:rsidRPr="00493330" w:rsidRDefault="004C4B64" w:rsidP="004C4B64">
            <w:pPr>
              <w:pStyle w:val="BodyTextIndent"/>
              <w:numPr>
                <w:ilvl w:val="0"/>
                <w:numId w:val="3"/>
              </w:numPr>
              <w:spacing w:after="120"/>
              <w:ind w:left="567" w:hanging="425"/>
              <w:rPr>
                <w:rFonts w:cs="Calibri"/>
                <w:szCs w:val="22"/>
              </w:rPr>
            </w:pPr>
            <w:r w:rsidRPr="00493330">
              <w:rPr>
                <w:rFonts w:cs="Calibri"/>
                <w:szCs w:val="22"/>
              </w:rPr>
              <w:t>Fire p</w:t>
            </w:r>
            <w:r>
              <w:rPr>
                <w:rFonts w:cs="Calibri"/>
                <w:szCs w:val="22"/>
              </w:rPr>
              <w:t>recautions during construction;</w:t>
            </w:r>
          </w:p>
          <w:p w:rsidR="004C4B64" w:rsidRPr="00493330" w:rsidRDefault="004C4B64" w:rsidP="004C4B64">
            <w:pPr>
              <w:pStyle w:val="BodyTextIndent"/>
              <w:numPr>
                <w:ilvl w:val="0"/>
                <w:numId w:val="3"/>
              </w:numPr>
              <w:spacing w:after="120"/>
              <w:ind w:left="567" w:hanging="425"/>
              <w:rPr>
                <w:rFonts w:cs="Calibri"/>
                <w:szCs w:val="22"/>
              </w:rPr>
            </w:pPr>
            <w:r w:rsidRPr="00493330">
              <w:rPr>
                <w:rFonts w:cs="Calibri"/>
                <w:szCs w:val="22"/>
              </w:rPr>
              <w:t>Dust suppression</w:t>
            </w:r>
            <w:r>
              <w:rPr>
                <w:rFonts w:cs="Calibri"/>
                <w:szCs w:val="22"/>
              </w:rPr>
              <w:t xml:space="preserve"> management measures;</w:t>
            </w:r>
          </w:p>
          <w:p w:rsidR="004C4B64" w:rsidRPr="00493330" w:rsidRDefault="004C4B64" w:rsidP="004C4B64">
            <w:pPr>
              <w:pStyle w:val="BodyTextIndent"/>
              <w:numPr>
                <w:ilvl w:val="0"/>
                <w:numId w:val="3"/>
              </w:numPr>
              <w:spacing w:after="120"/>
              <w:ind w:left="567" w:hanging="425"/>
              <w:rPr>
                <w:rFonts w:cs="Calibri"/>
                <w:szCs w:val="22"/>
              </w:rPr>
            </w:pPr>
            <w:r w:rsidRPr="00493330">
              <w:rPr>
                <w:rFonts w:cs="Calibri"/>
                <w:szCs w:val="22"/>
              </w:rPr>
              <w:t>Control of noise arising from the works in accordance with the requirements of the Protection of the Environment Operations Act 1997 and guidelines contained in the New South Wales Environment Protection Authority Env</w:t>
            </w:r>
            <w:r>
              <w:rPr>
                <w:rFonts w:cs="Calibri"/>
                <w:szCs w:val="22"/>
              </w:rPr>
              <w:t>ironmental Noise Control Manual;</w:t>
            </w:r>
          </w:p>
          <w:p w:rsidR="004C4B64" w:rsidRPr="00493330" w:rsidRDefault="004C4B64" w:rsidP="004C4B64">
            <w:pPr>
              <w:pStyle w:val="BodyTextIndent"/>
              <w:numPr>
                <w:ilvl w:val="0"/>
                <w:numId w:val="3"/>
              </w:numPr>
              <w:spacing w:after="120"/>
              <w:ind w:left="567" w:hanging="425"/>
              <w:rPr>
                <w:rFonts w:cs="Calibri"/>
                <w:szCs w:val="22"/>
              </w:rPr>
            </w:pPr>
            <w:r w:rsidRPr="00493330">
              <w:rPr>
                <w:rFonts w:cs="Calibri"/>
                <w:szCs w:val="22"/>
              </w:rPr>
              <w:t>Fencing and security details, including site hoardings to be provided, safeguarding both contractors and the public while works are being carried out on any public footpath areas</w:t>
            </w:r>
            <w:r>
              <w:rPr>
                <w:rFonts w:cs="Calibri"/>
                <w:szCs w:val="22"/>
              </w:rPr>
              <w:t>;</w:t>
            </w:r>
          </w:p>
          <w:p w:rsidR="004C4B64" w:rsidRPr="00493330" w:rsidRDefault="004C4B64" w:rsidP="004C4B64">
            <w:pPr>
              <w:pStyle w:val="BodyTextIndent"/>
              <w:numPr>
                <w:ilvl w:val="0"/>
                <w:numId w:val="3"/>
              </w:numPr>
              <w:spacing w:after="120"/>
              <w:ind w:left="567" w:hanging="425"/>
              <w:rPr>
                <w:rFonts w:cs="Calibri"/>
                <w:szCs w:val="22"/>
              </w:rPr>
            </w:pPr>
            <w:r w:rsidRPr="00493330">
              <w:rPr>
                <w:rFonts w:cs="Calibri"/>
                <w:szCs w:val="22"/>
              </w:rPr>
              <w:t>Details of</w:t>
            </w:r>
            <w:r>
              <w:rPr>
                <w:rFonts w:cs="Calibri"/>
                <w:szCs w:val="22"/>
              </w:rPr>
              <w:t xml:space="preserve"> all construction-related signs;</w:t>
            </w:r>
          </w:p>
          <w:p w:rsidR="004C4B64" w:rsidRPr="00493330" w:rsidRDefault="004C4B64" w:rsidP="004C4B64">
            <w:pPr>
              <w:pStyle w:val="BodyTextIndent"/>
              <w:numPr>
                <w:ilvl w:val="0"/>
                <w:numId w:val="3"/>
              </w:numPr>
              <w:spacing w:after="120"/>
              <w:ind w:left="567" w:hanging="425"/>
              <w:rPr>
                <w:rFonts w:cs="Calibri"/>
                <w:szCs w:val="22"/>
              </w:rPr>
            </w:pPr>
            <w:r w:rsidRPr="00493330">
              <w:rPr>
                <w:rFonts w:cs="Calibri"/>
                <w:szCs w:val="22"/>
              </w:rPr>
              <w:t>Careful management of construction activities to prevent any contaminant discharge from the site (including oils, fuels, paints or chemicals), particularly with respect to excess conc</w:t>
            </w:r>
            <w:r>
              <w:rPr>
                <w:rFonts w:cs="Calibri"/>
                <w:szCs w:val="22"/>
              </w:rPr>
              <w:t>rete or concrete truck washings;</w:t>
            </w:r>
          </w:p>
          <w:p w:rsidR="004C4B64" w:rsidRPr="00493330" w:rsidRDefault="004C4B64" w:rsidP="004C4B64">
            <w:pPr>
              <w:pStyle w:val="BodyTextIndent"/>
              <w:numPr>
                <w:ilvl w:val="0"/>
                <w:numId w:val="3"/>
              </w:numPr>
              <w:spacing w:after="120"/>
              <w:ind w:left="567" w:hanging="425"/>
              <w:rPr>
                <w:rFonts w:cs="Calibri"/>
                <w:szCs w:val="22"/>
              </w:rPr>
            </w:pPr>
            <w:r w:rsidRPr="00493330">
              <w:rPr>
                <w:rFonts w:cs="Calibri"/>
                <w:szCs w:val="22"/>
              </w:rPr>
              <w:t>Location of all public utility facilities and methods of protecting them</w:t>
            </w:r>
            <w:r>
              <w:rPr>
                <w:rFonts w:cs="Calibri"/>
                <w:szCs w:val="22"/>
              </w:rPr>
              <w:t>; and</w:t>
            </w:r>
            <w:r w:rsidRPr="00493330">
              <w:rPr>
                <w:rFonts w:cs="Calibri"/>
                <w:szCs w:val="22"/>
              </w:rPr>
              <w:t xml:space="preserve"> </w:t>
            </w:r>
          </w:p>
          <w:p w:rsidR="004C4B64" w:rsidRPr="00493330" w:rsidRDefault="004C4B64" w:rsidP="004C4B64">
            <w:pPr>
              <w:pStyle w:val="BodyTextIndent"/>
              <w:numPr>
                <w:ilvl w:val="0"/>
                <w:numId w:val="3"/>
              </w:numPr>
              <w:ind w:left="567" w:hanging="425"/>
              <w:rPr>
                <w:rFonts w:cs="Calibri"/>
                <w:szCs w:val="22"/>
              </w:rPr>
            </w:pPr>
            <w:r w:rsidRPr="00493330">
              <w:rPr>
                <w:rFonts w:cs="Calibri"/>
                <w:szCs w:val="22"/>
              </w:rPr>
              <w:t>Method of support to any excavation adjace</w:t>
            </w:r>
            <w:r>
              <w:rPr>
                <w:rFonts w:cs="Calibri"/>
                <w:szCs w:val="22"/>
              </w:rPr>
              <w:t>nt to adjoining</w:t>
            </w:r>
            <w:r w:rsidRPr="00493330">
              <w:rPr>
                <w:rFonts w:cs="Calibri"/>
                <w:szCs w:val="22"/>
              </w:rPr>
              <w:t xml:space="preserve"> properties, or the road reserve.</w:t>
            </w:r>
          </w:p>
          <w:p w:rsidR="004C4B64" w:rsidRPr="00365431" w:rsidRDefault="004C4B64" w:rsidP="0039097E">
            <w:pPr>
              <w:jc w:val="both"/>
              <w:rPr>
                <w:rFonts w:cs="Arial"/>
                <w:vanish/>
                <w:szCs w:val="22"/>
              </w:rPr>
            </w:pPr>
          </w:p>
        </w:tc>
      </w:tr>
    </w:tbl>
    <w:p w:rsidR="004C4B64" w:rsidRDefault="004C4B64" w:rsidP="004C4B64">
      <w:r>
        <w:br w:type="page"/>
      </w:r>
    </w:p>
    <w:tbl>
      <w:tblPr>
        <w:tblW w:w="10207" w:type="dxa"/>
        <w:tblInd w:w="-176" w:type="dxa"/>
        <w:tblLook w:val="01E0" w:firstRow="1" w:lastRow="1" w:firstColumn="1" w:lastColumn="1" w:noHBand="0" w:noVBand="0"/>
      </w:tblPr>
      <w:tblGrid>
        <w:gridCol w:w="176"/>
        <w:gridCol w:w="495"/>
        <w:gridCol w:w="9536"/>
      </w:tblGrid>
      <w:tr w:rsidR="004C4B64" w:rsidTr="0039097E">
        <w:tc>
          <w:tcPr>
            <w:tcW w:w="671" w:type="dxa"/>
            <w:gridSpan w:val="2"/>
          </w:tcPr>
          <w:p w:rsidR="004C4B64" w:rsidRPr="000A1DF7" w:rsidRDefault="004C4B64" w:rsidP="0039097E">
            <w:r>
              <w:lastRenderedPageBreak/>
              <w:t>14.</w:t>
            </w:r>
          </w:p>
        </w:tc>
        <w:tc>
          <w:tcPr>
            <w:tcW w:w="9536" w:type="dxa"/>
          </w:tcPr>
          <w:p w:rsidR="004C4B64" w:rsidRDefault="004C4B64" w:rsidP="0039097E">
            <w:pPr>
              <w:spacing w:after="120"/>
              <w:jc w:val="both"/>
              <w:rPr>
                <w:rFonts w:cs="Calibri"/>
              </w:rPr>
            </w:pPr>
            <w:r>
              <w:rPr>
                <w:rFonts w:cs="Calibri"/>
              </w:rPr>
              <w:t>The site must be decommissioned and restored to its original agriculture use/state on decommissioning/end of the lease/life of the development.</w:t>
            </w:r>
          </w:p>
          <w:p w:rsidR="004C4B64" w:rsidRDefault="004C4B64" w:rsidP="0039097E">
            <w:pPr>
              <w:spacing w:after="120"/>
              <w:jc w:val="both"/>
              <w:rPr>
                <w:rFonts w:cs="Calibri"/>
              </w:rPr>
            </w:pPr>
            <w:r>
              <w:rPr>
                <w:rFonts w:cs="Calibri"/>
              </w:rPr>
              <w:t>In this regard, the Applicant is to submit a detailed Decommissioning Management Plan (DMP) outlining all procedures and activities to be implemented for the decommissioning of the site. The plan is to include details of, but not limited to:</w:t>
            </w:r>
          </w:p>
          <w:p w:rsidR="004C4B64" w:rsidRPr="000A1DF7" w:rsidRDefault="004C4B64" w:rsidP="004C4B64">
            <w:pPr>
              <w:pStyle w:val="Default"/>
              <w:numPr>
                <w:ilvl w:val="0"/>
                <w:numId w:val="10"/>
              </w:numPr>
              <w:spacing w:after="63"/>
              <w:rPr>
                <w:rFonts w:ascii="Calibri" w:hAnsi="Calibri" w:cs="Calibri"/>
                <w:color w:val="auto"/>
                <w:sz w:val="22"/>
              </w:rPr>
            </w:pPr>
            <w:r w:rsidRPr="000A1DF7">
              <w:rPr>
                <w:rFonts w:ascii="Calibri" w:hAnsi="Calibri" w:cs="Calibri"/>
                <w:color w:val="auto"/>
                <w:sz w:val="22"/>
              </w:rPr>
              <w:t xml:space="preserve">Disconnection from the 66 kV offsite Substation; </w:t>
            </w:r>
          </w:p>
          <w:p w:rsidR="004C4B64" w:rsidRPr="000A1DF7" w:rsidRDefault="004C4B64" w:rsidP="004C4B64">
            <w:pPr>
              <w:pStyle w:val="Default"/>
              <w:numPr>
                <w:ilvl w:val="0"/>
                <w:numId w:val="10"/>
              </w:numPr>
              <w:spacing w:after="63"/>
              <w:rPr>
                <w:rFonts w:ascii="Calibri" w:hAnsi="Calibri" w:cs="Calibri"/>
                <w:color w:val="auto"/>
                <w:sz w:val="22"/>
              </w:rPr>
            </w:pPr>
            <w:r w:rsidRPr="000A1DF7">
              <w:rPr>
                <w:rFonts w:ascii="Calibri" w:hAnsi="Calibri" w:cs="Calibri"/>
                <w:color w:val="auto"/>
                <w:sz w:val="22"/>
              </w:rPr>
              <w:t xml:space="preserve">Dismantling </w:t>
            </w:r>
            <w:r>
              <w:rPr>
                <w:rFonts w:ascii="Calibri" w:hAnsi="Calibri" w:cs="Calibri"/>
                <w:color w:val="auto"/>
                <w:sz w:val="22"/>
              </w:rPr>
              <w:t xml:space="preserve">and removal </w:t>
            </w:r>
            <w:r w:rsidRPr="000A1DF7">
              <w:rPr>
                <w:rFonts w:ascii="Calibri" w:hAnsi="Calibri" w:cs="Calibri"/>
                <w:color w:val="auto"/>
                <w:sz w:val="22"/>
              </w:rPr>
              <w:t xml:space="preserve">of the Substation and support buildings; </w:t>
            </w:r>
          </w:p>
          <w:p w:rsidR="004C4B64" w:rsidRPr="000A1DF7" w:rsidRDefault="004C4B64" w:rsidP="004C4B64">
            <w:pPr>
              <w:pStyle w:val="Default"/>
              <w:numPr>
                <w:ilvl w:val="0"/>
                <w:numId w:val="10"/>
              </w:numPr>
              <w:spacing w:after="63"/>
              <w:rPr>
                <w:rFonts w:ascii="Calibri" w:hAnsi="Calibri" w:cs="Calibri"/>
                <w:color w:val="auto"/>
                <w:sz w:val="22"/>
              </w:rPr>
            </w:pPr>
            <w:r w:rsidRPr="000A1DF7">
              <w:rPr>
                <w:rFonts w:ascii="Calibri" w:hAnsi="Calibri" w:cs="Calibri"/>
                <w:color w:val="auto"/>
                <w:sz w:val="22"/>
              </w:rPr>
              <w:t xml:space="preserve">Removal of the solar panels, tracking systems, inverters and cables; </w:t>
            </w:r>
          </w:p>
          <w:p w:rsidR="004C4B64" w:rsidRPr="000A1DF7" w:rsidRDefault="004C4B64" w:rsidP="004C4B64">
            <w:pPr>
              <w:pStyle w:val="Default"/>
              <w:numPr>
                <w:ilvl w:val="0"/>
                <w:numId w:val="10"/>
              </w:numPr>
              <w:spacing w:after="63"/>
              <w:rPr>
                <w:rFonts w:ascii="Calibri" w:hAnsi="Calibri" w:cs="Calibri"/>
                <w:color w:val="auto"/>
                <w:sz w:val="22"/>
              </w:rPr>
            </w:pPr>
            <w:r w:rsidRPr="000A1DF7">
              <w:rPr>
                <w:rFonts w:ascii="Calibri" w:hAnsi="Calibri" w:cs="Calibri"/>
                <w:color w:val="auto"/>
                <w:sz w:val="22"/>
              </w:rPr>
              <w:t xml:space="preserve">Removal of onsite tracks and fences unless agreed otherwise with the landowner; and </w:t>
            </w:r>
          </w:p>
          <w:p w:rsidR="004C4B64" w:rsidRPr="000A1DF7" w:rsidRDefault="004C4B64" w:rsidP="004C4B64">
            <w:pPr>
              <w:pStyle w:val="Default"/>
              <w:numPr>
                <w:ilvl w:val="0"/>
                <w:numId w:val="10"/>
              </w:numPr>
              <w:spacing w:after="120"/>
              <w:ind w:left="714" w:hanging="357"/>
              <w:rPr>
                <w:rFonts w:ascii="Calibri" w:hAnsi="Calibri" w:cs="Calibri"/>
                <w:color w:val="auto"/>
                <w:sz w:val="22"/>
              </w:rPr>
            </w:pPr>
            <w:r w:rsidRPr="000A1DF7">
              <w:rPr>
                <w:rFonts w:ascii="Calibri" w:hAnsi="Calibri" w:cs="Calibri"/>
                <w:color w:val="auto"/>
                <w:sz w:val="22"/>
              </w:rPr>
              <w:t xml:space="preserve">Reinstatement of all disturbed ground. </w:t>
            </w:r>
          </w:p>
          <w:p w:rsidR="004C4B64" w:rsidRDefault="004C4B64" w:rsidP="0039097E">
            <w:pPr>
              <w:spacing w:after="120"/>
              <w:jc w:val="both"/>
              <w:rPr>
                <w:rFonts w:cs="Calibri"/>
              </w:rPr>
            </w:pPr>
            <w:r>
              <w:rPr>
                <w:rFonts w:cs="Calibri"/>
              </w:rPr>
              <w:t>Where possible and in accordance with the SEE, such plan must also include measures and opportunities to maximise the recycling of all products/materials at the end of their life, to ensure that they are appropriately disposed of responsibly and reuse is maximised while waste is minimised.</w:t>
            </w:r>
          </w:p>
          <w:p w:rsidR="004C4B64" w:rsidRDefault="004C4B64" w:rsidP="0039097E">
            <w:pPr>
              <w:jc w:val="both"/>
              <w:rPr>
                <w:rFonts w:cs="Calibri"/>
              </w:rPr>
            </w:pPr>
            <w:r w:rsidRPr="00FE47E5">
              <w:rPr>
                <w:rFonts w:cs="Calibri"/>
              </w:rPr>
              <w:t>Full details are to be provided to the satisfaction of the relevant Certifying Authority prior to the release of a Construction Certificate for the development.</w:t>
            </w:r>
            <w:r>
              <w:rPr>
                <w:rFonts w:cs="Calibri"/>
              </w:rPr>
              <w:t xml:space="preserve">   </w:t>
            </w:r>
          </w:p>
          <w:p w:rsidR="004C4B64" w:rsidRDefault="004C4B64" w:rsidP="0039097E">
            <w:pPr>
              <w:jc w:val="both"/>
              <w:rPr>
                <w:rFonts w:cs="Calibri"/>
              </w:rPr>
            </w:pPr>
            <w:r>
              <w:rPr>
                <w:rFonts w:cs="Calibri"/>
              </w:rPr>
              <w:t xml:space="preserve">    </w:t>
            </w:r>
          </w:p>
        </w:tc>
      </w:tr>
      <w:tr w:rsidR="004C4B64" w:rsidTr="0039097E">
        <w:trPr>
          <w:gridBefore w:val="1"/>
          <w:wBefore w:w="176" w:type="dxa"/>
        </w:trPr>
        <w:tc>
          <w:tcPr>
            <w:tcW w:w="495" w:type="dxa"/>
            <w:hideMark/>
          </w:tcPr>
          <w:p w:rsidR="004C4B64" w:rsidRDefault="004C4B64" w:rsidP="0039097E">
            <w:pPr>
              <w:rPr>
                <w:rFonts w:cs="Arial"/>
                <w:szCs w:val="22"/>
              </w:rPr>
            </w:pPr>
            <w:r>
              <w:rPr>
                <w:rFonts w:cs="Arial"/>
                <w:szCs w:val="22"/>
              </w:rPr>
              <w:t>15.</w:t>
            </w:r>
          </w:p>
        </w:tc>
        <w:tc>
          <w:tcPr>
            <w:tcW w:w="9536" w:type="dxa"/>
            <w:hideMark/>
          </w:tcPr>
          <w:p w:rsidR="004C4B64" w:rsidRDefault="004C4B64" w:rsidP="0039097E">
            <w:pPr>
              <w:spacing w:after="120"/>
              <w:jc w:val="both"/>
              <w:rPr>
                <w:rFonts w:cs="Calibri"/>
              </w:rPr>
            </w:pPr>
            <w:r>
              <w:rPr>
                <w:rFonts w:cs="Calibri"/>
              </w:rPr>
              <w:t>A Landscape Management Plan must be prepared for the development incorporating all recommendations within the SEE.</w:t>
            </w:r>
          </w:p>
          <w:p w:rsidR="004C4B64" w:rsidRDefault="004C4B64" w:rsidP="0039097E">
            <w:pPr>
              <w:jc w:val="both"/>
              <w:rPr>
                <w:rFonts w:cs="Calibri"/>
              </w:rPr>
            </w:pPr>
            <w:r>
              <w:rPr>
                <w:rFonts w:cs="Calibri"/>
              </w:rPr>
              <w:t>Additionally, the landscape plan must detail:</w:t>
            </w:r>
          </w:p>
          <w:p w:rsidR="004C4B64" w:rsidRDefault="004C4B64" w:rsidP="004C4B64">
            <w:pPr>
              <w:numPr>
                <w:ilvl w:val="0"/>
                <w:numId w:val="4"/>
              </w:numPr>
              <w:spacing w:after="120" w:line="276" w:lineRule="auto"/>
              <w:jc w:val="both"/>
              <w:rPr>
                <w:rFonts w:cs="Calibri"/>
              </w:rPr>
            </w:pPr>
            <w:r>
              <w:rPr>
                <w:rFonts w:cs="Calibri"/>
              </w:rPr>
              <w:t>Name and number of species (with preference on the use of native varieties);</w:t>
            </w:r>
          </w:p>
          <w:p w:rsidR="004C4B64" w:rsidRDefault="004C4B64" w:rsidP="004C4B64">
            <w:pPr>
              <w:numPr>
                <w:ilvl w:val="0"/>
                <w:numId w:val="4"/>
              </w:numPr>
              <w:spacing w:after="120" w:line="276" w:lineRule="auto"/>
              <w:jc w:val="both"/>
              <w:rPr>
                <w:rFonts w:cs="Calibri"/>
              </w:rPr>
            </w:pPr>
            <w:r>
              <w:rPr>
                <w:rFonts w:cs="Calibri"/>
              </w:rPr>
              <w:t>Height of species at planting;</w:t>
            </w:r>
          </w:p>
          <w:p w:rsidR="004C4B64" w:rsidRDefault="004C4B64" w:rsidP="004C4B64">
            <w:pPr>
              <w:numPr>
                <w:ilvl w:val="0"/>
                <w:numId w:val="4"/>
              </w:numPr>
              <w:spacing w:after="120" w:line="276" w:lineRule="auto"/>
              <w:jc w:val="both"/>
              <w:rPr>
                <w:rFonts w:cs="Calibri"/>
              </w:rPr>
            </w:pPr>
            <w:r>
              <w:rPr>
                <w:rFonts w:cs="Calibri"/>
              </w:rPr>
              <w:t>Height and spread of species at maturity;</w:t>
            </w:r>
          </w:p>
          <w:p w:rsidR="004C4B64" w:rsidRDefault="004C4B64" w:rsidP="004C4B64">
            <w:pPr>
              <w:numPr>
                <w:ilvl w:val="0"/>
                <w:numId w:val="4"/>
              </w:numPr>
              <w:spacing w:after="120" w:line="276" w:lineRule="auto"/>
              <w:jc w:val="both"/>
              <w:rPr>
                <w:rFonts w:cs="Calibri"/>
              </w:rPr>
            </w:pPr>
            <w:r>
              <w:rPr>
                <w:rFonts w:cs="Calibri"/>
              </w:rPr>
              <w:t>Method of site preparation and maintenance, to ensure likely survival of plant stock;</w:t>
            </w:r>
          </w:p>
          <w:p w:rsidR="004C4B64" w:rsidRDefault="004C4B64" w:rsidP="004C4B64">
            <w:pPr>
              <w:numPr>
                <w:ilvl w:val="0"/>
                <w:numId w:val="4"/>
              </w:numPr>
              <w:spacing w:after="120" w:line="276" w:lineRule="auto"/>
              <w:jc w:val="both"/>
              <w:rPr>
                <w:rFonts w:cs="Calibri"/>
              </w:rPr>
            </w:pPr>
            <w:r>
              <w:rPr>
                <w:rFonts w:cs="Calibri"/>
              </w:rPr>
              <w:t>Monitoring program to detect and replace dead or unhealthy plant stock;</w:t>
            </w:r>
          </w:p>
          <w:p w:rsidR="004C4B64" w:rsidRDefault="004C4B64" w:rsidP="004C4B64">
            <w:pPr>
              <w:numPr>
                <w:ilvl w:val="0"/>
                <w:numId w:val="4"/>
              </w:numPr>
              <w:spacing w:after="120" w:line="276" w:lineRule="auto"/>
              <w:jc w:val="both"/>
              <w:rPr>
                <w:rFonts w:cs="Calibri"/>
              </w:rPr>
            </w:pPr>
            <w:r>
              <w:rPr>
                <w:rFonts w:cs="Calibri"/>
              </w:rPr>
              <w:t>Weed management;</w:t>
            </w:r>
          </w:p>
          <w:p w:rsidR="004C4B64" w:rsidRDefault="004C4B64" w:rsidP="004C4B64">
            <w:pPr>
              <w:numPr>
                <w:ilvl w:val="0"/>
                <w:numId w:val="4"/>
              </w:numPr>
              <w:spacing w:after="120" w:line="276" w:lineRule="auto"/>
              <w:jc w:val="both"/>
              <w:rPr>
                <w:rFonts w:cs="Calibri"/>
              </w:rPr>
            </w:pPr>
            <w:r>
              <w:rPr>
                <w:rFonts w:cs="Calibri"/>
              </w:rPr>
              <w:t xml:space="preserve">Proposal for landscaping/screening of the site in the event of drought conditions prevailing, which may inhibit the landscaping planting being undertaken from the outset; </w:t>
            </w:r>
          </w:p>
          <w:p w:rsidR="004C4B64" w:rsidRDefault="004C4B64" w:rsidP="004C4B64">
            <w:pPr>
              <w:numPr>
                <w:ilvl w:val="0"/>
                <w:numId w:val="4"/>
              </w:numPr>
              <w:spacing w:after="120" w:line="276" w:lineRule="auto"/>
              <w:jc w:val="both"/>
              <w:rPr>
                <w:rFonts w:cs="Calibri"/>
              </w:rPr>
            </w:pPr>
            <w:r>
              <w:rPr>
                <w:rFonts w:cs="Calibri"/>
              </w:rPr>
              <w:t xml:space="preserve">Proposal for ongoing maintenance/watering of plantings to ensure their survival during drought conditions.   </w:t>
            </w:r>
          </w:p>
          <w:p w:rsidR="004C4B64" w:rsidRDefault="004C4B64" w:rsidP="0039097E">
            <w:pPr>
              <w:spacing w:after="120" w:line="276" w:lineRule="auto"/>
              <w:jc w:val="both"/>
              <w:rPr>
                <w:rFonts w:cs="Calibri"/>
              </w:rPr>
            </w:pPr>
            <w:r>
              <w:rPr>
                <w:rFonts w:cs="Calibri"/>
              </w:rPr>
              <w:t xml:space="preserve">Such plan is to be </w:t>
            </w:r>
            <w:r w:rsidRPr="00FE47E5">
              <w:rPr>
                <w:rFonts w:cs="Calibri"/>
              </w:rPr>
              <w:t>provided to the satisfaction of the relevant Certifying Authority prior to the release of a Construction Certificate for the development.</w:t>
            </w:r>
            <w:r>
              <w:rPr>
                <w:rFonts w:cs="Calibri"/>
              </w:rPr>
              <w:t xml:space="preserve">    </w:t>
            </w:r>
          </w:p>
          <w:p w:rsidR="004C4B64" w:rsidRDefault="004C4B64" w:rsidP="0039097E">
            <w:pPr>
              <w:spacing w:line="276" w:lineRule="auto"/>
              <w:jc w:val="both"/>
              <w:rPr>
                <w:rFonts w:cs="Calibri"/>
              </w:rPr>
            </w:pPr>
            <w:r>
              <w:rPr>
                <w:rFonts w:cs="Calibri"/>
              </w:rPr>
              <w:t>Landscaping/screening required under this consent, is to be undertaken in accordance with the approved plan prior to the operational phase of the development commencing.</w:t>
            </w:r>
          </w:p>
          <w:p w:rsidR="004C4B64" w:rsidRDefault="004C4B64" w:rsidP="0039097E">
            <w:pPr>
              <w:spacing w:line="276" w:lineRule="auto"/>
              <w:jc w:val="both"/>
              <w:rPr>
                <w:rFonts w:cs="Calibri"/>
              </w:rPr>
            </w:pPr>
            <w:r>
              <w:rPr>
                <w:rFonts w:cs="Calibri"/>
              </w:rPr>
              <w:t xml:space="preserve"> </w:t>
            </w:r>
          </w:p>
        </w:tc>
      </w:tr>
      <w:tr w:rsidR="004C4B64" w:rsidRPr="00D65195" w:rsidTr="0039097E">
        <w:trPr>
          <w:gridBefore w:val="1"/>
          <w:wBefore w:w="176" w:type="dxa"/>
        </w:trPr>
        <w:tc>
          <w:tcPr>
            <w:tcW w:w="495" w:type="dxa"/>
            <w:hideMark/>
          </w:tcPr>
          <w:p w:rsidR="004C4B64" w:rsidRDefault="004C4B64" w:rsidP="0039097E">
            <w:pPr>
              <w:rPr>
                <w:rFonts w:cs="Arial"/>
                <w:szCs w:val="22"/>
              </w:rPr>
            </w:pPr>
            <w:r>
              <w:rPr>
                <w:rFonts w:cs="Arial"/>
                <w:szCs w:val="22"/>
              </w:rPr>
              <w:t>16</w:t>
            </w:r>
            <w:r w:rsidRPr="000A1DF7">
              <w:rPr>
                <w:rFonts w:cs="Arial"/>
                <w:szCs w:val="22"/>
              </w:rPr>
              <w:t>.</w:t>
            </w:r>
          </w:p>
        </w:tc>
        <w:tc>
          <w:tcPr>
            <w:tcW w:w="9536" w:type="dxa"/>
            <w:hideMark/>
          </w:tcPr>
          <w:p w:rsidR="004C4B64" w:rsidRPr="00D65195" w:rsidRDefault="004C4B64" w:rsidP="0039097E">
            <w:pPr>
              <w:spacing w:after="120"/>
              <w:jc w:val="both"/>
              <w:rPr>
                <w:rFonts w:cs="Calibri"/>
              </w:rPr>
            </w:pPr>
            <w:r w:rsidRPr="00D65195">
              <w:rPr>
                <w:rFonts w:cs="Calibri"/>
              </w:rPr>
              <w:t xml:space="preserve">The discharge of stormwater is to be controlled to ensure that post-development follows do not exceed pre-development flows. The stormwater solution is to be designed by a suitably qualified engineer to prevent nuisance to adjoining land.  </w:t>
            </w:r>
          </w:p>
          <w:p w:rsidR="004C4B64" w:rsidRPr="00D65195" w:rsidRDefault="004C4B64" w:rsidP="0039097E">
            <w:pPr>
              <w:spacing w:after="120"/>
              <w:jc w:val="both"/>
              <w:rPr>
                <w:rFonts w:cs="Calibri"/>
                <w:i/>
              </w:rPr>
            </w:pPr>
            <w:r w:rsidRPr="00D65195">
              <w:rPr>
                <w:rFonts w:cs="Calibri"/>
                <w:i/>
              </w:rPr>
              <w:t>ADVISING:  Approval from the Department of Primary Industries – Water may be required if it is proposed to discharge stormwater directly into an existing waterway.</w:t>
            </w:r>
          </w:p>
        </w:tc>
      </w:tr>
    </w:tbl>
    <w:p w:rsidR="004C4B64" w:rsidRDefault="004C4B64" w:rsidP="004C4B64">
      <w:r>
        <w:br w:type="page"/>
      </w:r>
    </w:p>
    <w:tbl>
      <w:tblPr>
        <w:tblW w:w="10031" w:type="dxa"/>
        <w:tblLook w:val="01E0" w:firstRow="1" w:lastRow="1" w:firstColumn="1" w:lastColumn="1" w:noHBand="0" w:noVBand="0"/>
      </w:tblPr>
      <w:tblGrid>
        <w:gridCol w:w="495"/>
        <w:gridCol w:w="9536"/>
      </w:tblGrid>
      <w:tr w:rsidR="004C4B64" w:rsidTr="0039097E">
        <w:tc>
          <w:tcPr>
            <w:tcW w:w="495" w:type="dxa"/>
          </w:tcPr>
          <w:p w:rsidR="004C4B64" w:rsidRDefault="004C4B64" w:rsidP="0039097E">
            <w:pPr>
              <w:rPr>
                <w:rFonts w:cs="Arial"/>
                <w:szCs w:val="22"/>
              </w:rPr>
            </w:pPr>
            <w:r>
              <w:rPr>
                <w:rFonts w:cs="Arial"/>
                <w:szCs w:val="22"/>
              </w:rPr>
              <w:lastRenderedPageBreak/>
              <w:t>17.</w:t>
            </w:r>
          </w:p>
        </w:tc>
        <w:tc>
          <w:tcPr>
            <w:tcW w:w="9536" w:type="dxa"/>
          </w:tcPr>
          <w:p w:rsidR="004C4B64" w:rsidRDefault="004C4B64" w:rsidP="0039097E">
            <w:pPr>
              <w:spacing w:after="120"/>
              <w:jc w:val="both"/>
              <w:rPr>
                <w:rFonts w:cs="Calibri"/>
              </w:rPr>
            </w:pPr>
            <w:r>
              <w:rPr>
                <w:rFonts w:cs="Calibri"/>
              </w:rPr>
              <w:t>Given that the subject site may contain items of potential Aboriginal Heritage significance and that an Aboriginal site has ben recorded in or near the location of the land on which the development is proposed on the Aboriginal Heritage Information Management System (AHIMS), consultation is to be undertaken with the relevant Aboriginal stakeholders and OEH.</w:t>
            </w:r>
          </w:p>
          <w:p w:rsidR="004C4B64" w:rsidRDefault="004C4B64" w:rsidP="0039097E">
            <w:pPr>
              <w:jc w:val="both"/>
              <w:rPr>
                <w:rFonts w:cs="Calibri"/>
              </w:rPr>
            </w:pPr>
            <w:r>
              <w:rPr>
                <w:rFonts w:cs="Calibri"/>
              </w:rPr>
              <w:t xml:space="preserve">Evidence of such consultation being undertaken advising that the Aboriginal Community and OEH are satisfied that the proposed development would be unlikely to impact on any known sites/places, is to be provided to the satisfaction of the relevant Certifying Authority prior to the issue of a Construction Certificate.   </w:t>
            </w:r>
          </w:p>
          <w:p w:rsidR="004C4B64" w:rsidRDefault="004C4B64" w:rsidP="0039097E">
            <w:pPr>
              <w:jc w:val="both"/>
              <w:rPr>
                <w:rFonts w:cs="Calibri"/>
              </w:rPr>
            </w:pPr>
          </w:p>
        </w:tc>
      </w:tr>
      <w:tr w:rsidR="004C4B64" w:rsidRPr="00B24FEF" w:rsidTr="0039097E">
        <w:tc>
          <w:tcPr>
            <w:tcW w:w="495" w:type="dxa"/>
          </w:tcPr>
          <w:p w:rsidR="004C4B64" w:rsidRDefault="004C4B64" w:rsidP="0039097E">
            <w:pPr>
              <w:rPr>
                <w:rFonts w:cs="Arial"/>
                <w:szCs w:val="22"/>
              </w:rPr>
            </w:pPr>
            <w:r>
              <w:rPr>
                <w:rFonts w:cs="Arial"/>
                <w:szCs w:val="22"/>
              </w:rPr>
              <w:t>18.</w:t>
            </w:r>
          </w:p>
        </w:tc>
        <w:tc>
          <w:tcPr>
            <w:tcW w:w="9536" w:type="dxa"/>
          </w:tcPr>
          <w:p w:rsidR="004C4B64" w:rsidRPr="00B24FEF" w:rsidRDefault="004C4B64" w:rsidP="0039097E">
            <w:pPr>
              <w:pStyle w:val="Default"/>
              <w:jc w:val="both"/>
              <w:rPr>
                <w:rFonts w:ascii="Calibri" w:hAnsi="Calibri"/>
                <w:color w:val="auto"/>
                <w:sz w:val="22"/>
                <w:szCs w:val="22"/>
              </w:rPr>
            </w:pPr>
            <w:r w:rsidRPr="00B24FEF">
              <w:rPr>
                <w:rFonts w:ascii="Calibri" w:hAnsi="Calibri"/>
                <w:color w:val="auto"/>
                <w:sz w:val="22"/>
                <w:szCs w:val="22"/>
              </w:rPr>
              <w:t>Approval is required from Council for the following activities pursuant to Chapter 7, Section 68 of the Local Government Act 1993:</w:t>
            </w:r>
          </w:p>
          <w:p w:rsidR="004C4B64" w:rsidRPr="00B24FEF" w:rsidRDefault="004C4B64" w:rsidP="004C4B64">
            <w:pPr>
              <w:numPr>
                <w:ilvl w:val="0"/>
                <w:numId w:val="14"/>
              </w:numPr>
              <w:spacing w:after="120"/>
              <w:jc w:val="both"/>
              <w:rPr>
                <w:rFonts w:cs="Arial"/>
                <w:szCs w:val="22"/>
              </w:rPr>
            </w:pPr>
            <w:r w:rsidRPr="00B24FEF">
              <w:rPr>
                <w:rFonts w:cs="Arial"/>
                <w:szCs w:val="22"/>
              </w:rPr>
              <w:t>Installation, alteration, or operation of an on-site waste water management system,</w:t>
            </w:r>
          </w:p>
          <w:p w:rsidR="004C4B64" w:rsidRPr="00B24FEF" w:rsidRDefault="004C4B64" w:rsidP="004C4B64">
            <w:pPr>
              <w:numPr>
                <w:ilvl w:val="0"/>
                <w:numId w:val="14"/>
              </w:numPr>
              <w:spacing w:after="120"/>
              <w:jc w:val="both"/>
              <w:rPr>
                <w:rFonts w:cs="Arial"/>
                <w:szCs w:val="22"/>
              </w:rPr>
            </w:pPr>
            <w:r w:rsidRPr="00B24FEF">
              <w:rPr>
                <w:rFonts w:cs="Arial"/>
                <w:szCs w:val="22"/>
              </w:rPr>
              <w:t>Installation of a moveable building,</w:t>
            </w:r>
          </w:p>
          <w:p w:rsidR="004C4B64" w:rsidRPr="00B24FEF" w:rsidRDefault="004C4B64" w:rsidP="0039097E">
            <w:pPr>
              <w:pStyle w:val="Default"/>
              <w:jc w:val="both"/>
              <w:rPr>
                <w:rFonts w:ascii="Calibri" w:hAnsi="Calibri"/>
                <w:color w:val="auto"/>
                <w:sz w:val="22"/>
                <w:szCs w:val="22"/>
              </w:rPr>
            </w:pPr>
            <w:r w:rsidRPr="00B24FEF">
              <w:rPr>
                <w:rFonts w:ascii="Calibri" w:hAnsi="Calibri"/>
                <w:color w:val="auto"/>
                <w:sz w:val="22"/>
                <w:szCs w:val="22"/>
              </w:rPr>
              <w:t>Approval must be obtained prior to the issue of a Construction Certificate for the development.</w:t>
            </w:r>
          </w:p>
          <w:p w:rsidR="004C4B64" w:rsidRPr="00B24FEF" w:rsidRDefault="004C4B64" w:rsidP="0039097E">
            <w:pPr>
              <w:pStyle w:val="Default"/>
              <w:rPr>
                <w:rFonts w:ascii="Calibri" w:hAnsi="Calibri"/>
                <w:color w:val="auto"/>
                <w:sz w:val="22"/>
                <w:szCs w:val="22"/>
              </w:rPr>
            </w:pPr>
          </w:p>
        </w:tc>
      </w:tr>
      <w:tr w:rsidR="004C4B64" w:rsidRPr="00B24FEF" w:rsidTr="0039097E">
        <w:tc>
          <w:tcPr>
            <w:tcW w:w="495" w:type="dxa"/>
          </w:tcPr>
          <w:p w:rsidR="004C4B64" w:rsidRDefault="004C4B64" w:rsidP="0039097E">
            <w:pPr>
              <w:rPr>
                <w:rFonts w:cs="Arial"/>
                <w:szCs w:val="22"/>
              </w:rPr>
            </w:pPr>
            <w:r>
              <w:rPr>
                <w:rFonts w:cs="Arial"/>
                <w:szCs w:val="22"/>
              </w:rPr>
              <w:t>19.</w:t>
            </w:r>
          </w:p>
        </w:tc>
        <w:tc>
          <w:tcPr>
            <w:tcW w:w="9536" w:type="dxa"/>
          </w:tcPr>
          <w:p w:rsidR="004C4B64" w:rsidRDefault="004C4B64" w:rsidP="0039097E">
            <w:pPr>
              <w:pStyle w:val="Default"/>
              <w:jc w:val="both"/>
              <w:rPr>
                <w:rFonts w:ascii="Calibri" w:hAnsi="Calibri"/>
                <w:color w:val="auto"/>
                <w:sz w:val="22"/>
                <w:szCs w:val="22"/>
              </w:rPr>
            </w:pPr>
            <w:r w:rsidRPr="00B24FEF">
              <w:rPr>
                <w:rFonts w:ascii="Calibri" w:hAnsi="Calibri"/>
                <w:color w:val="auto"/>
                <w:sz w:val="22"/>
                <w:szCs w:val="22"/>
              </w:rPr>
              <w:t>Prior to the issue of a Construction Certificate for the development, the Applicant is to submit a detailed excavation/earthworks plan for the proposed development</w:t>
            </w:r>
            <w:r>
              <w:rPr>
                <w:rFonts w:ascii="Calibri" w:hAnsi="Calibri"/>
                <w:color w:val="auto"/>
                <w:sz w:val="22"/>
                <w:szCs w:val="22"/>
              </w:rPr>
              <w:t>, inc</w:t>
            </w:r>
            <w:r w:rsidRPr="00B24FEF">
              <w:rPr>
                <w:rFonts w:ascii="Calibri" w:hAnsi="Calibri"/>
                <w:color w:val="auto"/>
                <w:sz w:val="22"/>
                <w:szCs w:val="22"/>
              </w:rPr>
              <w:t xml:space="preserve">luding but not limited to the </w:t>
            </w:r>
            <w:r>
              <w:rPr>
                <w:rFonts w:ascii="Calibri" w:hAnsi="Calibri"/>
                <w:color w:val="auto"/>
                <w:sz w:val="22"/>
                <w:szCs w:val="22"/>
              </w:rPr>
              <w:t xml:space="preserve">panel array area </w:t>
            </w:r>
            <w:r w:rsidRPr="00B24FEF">
              <w:rPr>
                <w:rFonts w:ascii="Calibri" w:hAnsi="Calibri"/>
                <w:color w:val="auto"/>
                <w:sz w:val="22"/>
                <w:szCs w:val="22"/>
              </w:rPr>
              <w:t>and all ancillary works</w:t>
            </w:r>
            <w:r>
              <w:rPr>
                <w:rFonts w:ascii="Calibri" w:hAnsi="Calibri"/>
                <w:color w:val="auto"/>
                <w:sz w:val="22"/>
                <w:szCs w:val="22"/>
              </w:rPr>
              <w:t xml:space="preserve"> and </w:t>
            </w:r>
            <w:r w:rsidRPr="00B24FEF">
              <w:rPr>
                <w:rFonts w:ascii="Calibri" w:hAnsi="Calibri"/>
                <w:color w:val="auto"/>
                <w:sz w:val="22"/>
                <w:szCs w:val="22"/>
              </w:rPr>
              <w:t xml:space="preserve">include details and location of all stock piles on-site and proposed erosion and sediment controls to be installed to prevent runoff.   </w:t>
            </w:r>
          </w:p>
          <w:p w:rsidR="004C4B64" w:rsidRPr="00B24FEF" w:rsidRDefault="004C4B64" w:rsidP="0039097E">
            <w:pPr>
              <w:pStyle w:val="Default"/>
              <w:jc w:val="both"/>
              <w:rPr>
                <w:rFonts w:ascii="Calibri" w:hAnsi="Calibri"/>
                <w:color w:val="auto"/>
                <w:sz w:val="22"/>
                <w:szCs w:val="22"/>
              </w:rPr>
            </w:pPr>
          </w:p>
        </w:tc>
      </w:tr>
      <w:tr w:rsidR="004C4B64" w:rsidRPr="00B24FEF" w:rsidTr="0039097E">
        <w:tc>
          <w:tcPr>
            <w:tcW w:w="495" w:type="dxa"/>
          </w:tcPr>
          <w:p w:rsidR="004C4B64" w:rsidRDefault="004C4B64" w:rsidP="0039097E">
            <w:pPr>
              <w:rPr>
                <w:rFonts w:cs="Arial"/>
                <w:szCs w:val="22"/>
              </w:rPr>
            </w:pPr>
            <w:r>
              <w:rPr>
                <w:rFonts w:cs="Arial"/>
                <w:szCs w:val="22"/>
              </w:rPr>
              <w:t>20.</w:t>
            </w:r>
          </w:p>
        </w:tc>
        <w:tc>
          <w:tcPr>
            <w:tcW w:w="9536" w:type="dxa"/>
          </w:tcPr>
          <w:p w:rsidR="004C4B64" w:rsidRDefault="004C4B64" w:rsidP="0039097E">
            <w:pPr>
              <w:spacing w:after="120"/>
              <w:jc w:val="both"/>
              <w:rPr>
                <w:rFonts w:cs="Calibri"/>
                <w:iCs/>
              </w:rPr>
            </w:pPr>
            <w:r>
              <w:rPr>
                <w:rFonts w:cs="Calibri"/>
                <w:iCs/>
              </w:rPr>
              <w:t xml:space="preserve">In accordance with the Biodiversity Development Assessment Report and Addendums prepared by Eco Logical Australia for the development, the class and number of Ecosystem credits as detailed in the tables </w:t>
            </w:r>
            <w:proofErr w:type="gramStart"/>
            <w:r>
              <w:rPr>
                <w:rFonts w:cs="Calibri"/>
                <w:iCs/>
              </w:rPr>
              <w:t>below,</w:t>
            </w:r>
            <w:proofErr w:type="gramEnd"/>
            <w:r>
              <w:rPr>
                <w:rFonts w:cs="Calibri"/>
                <w:iCs/>
              </w:rPr>
              <w:t xml:space="preserve"> must be retired to offset the residual biodiversity impacts of the development.</w:t>
            </w:r>
          </w:p>
          <w:p w:rsidR="004C4B64" w:rsidRPr="00EF5B3C" w:rsidRDefault="004C4B64" w:rsidP="0039097E">
            <w:pPr>
              <w:pStyle w:val="Default"/>
              <w:spacing w:after="120"/>
              <w:jc w:val="both"/>
              <w:rPr>
                <w:rFonts w:ascii="Calibri" w:hAnsi="Calibri"/>
                <w:sz w:val="22"/>
                <w:szCs w:val="22"/>
              </w:rPr>
            </w:pPr>
            <w:r w:rsidRPr="00EF5B3C">
              <w:rPr>
                <w:rFonts w:ascii="Calibri" w:hAnsi="Calibri"/>
                <w:sz w:val="22"/>
                <w:szCs w:val="22"/>
              </w:rPr>
              <w:t xml:space="preserve">The requirement to retire credits may be satisfied by payment to the Biodiversity Conservation Fund of an amount equivalent to the class and number of </w:t>
            </w:r>
            <w:r>
              <w:rPr>
                <w:rFonts w:ascii="Calibri" w:hAnsi="Calibri"/>
                <w:sz w:val="22"/>
                <w:szCs w:val="22"/>
              </w:rPr>
              <w:t>E</w:t>
            </w:r>
            <w:r w:rsidRPr="00EF5B3C">
              <w:rPr>
                <w:rFonts w:ascii="Calibri" w:hAnsi="Calibri"/>
                <w:sz w:val="22"/>
                <w:szCs w:val="22"/>
              </w:rPr>
              <w:t>cosystem credits, as calculated by the BAM Credit Calculator (BAM-C</w:t>
            </w:r>
            <w:r>
              <w:rPr>
                <w:rFonts w:ascii="Calibri" w:hAnsi="Calibri"/>
                <w:sz w:val="22"/>
                <w:szCs w:val="22"/>
              </w:rPr>
              <w:t>).</w:t>
            </w:r>
          </w:p>
          <w:p w:rsidR="004C4B64" w:rsidRPr="00F867E3" w:rsidRDefault="004C4B64" w:rsidP="0039097E">
            <w:pPr>
              <w:pStyle w:val="Default"/>
              <w:jc w:val="both"/>
              <w:rPr>
                <w:rFonts w:ascii="Calibri" w:hAnsi="Calibri" w:cs="Calibri"/>
                <w:iCs/>
                <w:sz w:val="22"/>
                <w:szCs w:val="22"/>
              </w:rPr>
            </w:pPr>
            <w:r w:rsidRPr="00F867E3">
              <w:rPr>
                <w:rFonts w:ascii="Calibri" w:hAnsi="Calibri"/>
                <w:sz w:val="22"/>
                <w:szCs w:val="22"/>
              </w:rPr>
              <w:t xml:space="preserve">Evidence of the retirement of credits or payment to the Biodiversity Conservation Fund in satisfaction of </w:t>
            </w:r>
            <w:r>
              <w:rPr>
                <w:rFonts w:ascii="Calibri" w:hAnsi="Calibri"/>
                <w:sz w:val="22"/>
                <w:szCs w:val="22"/>
              </w:rPr>
              <w:t xml:space="preserve">this </w:t>
            </w:r>
            <w:r w:rsidRPr="00F867E3">
              <w:rPr>
                <w:rFonts w:ascii="Calibri" w:hAnsi="Calibri"/>
                <w:sz w:val="22"/>
                <w:szCs w:val="22"/>
              </w:rPr>
              <w:t>condition</w:t>
            </w:r>
            <w:r>
              <w:rPr>
                <w:rFonts w:ascii="Calibri" w:hAnsi="Calibri"/>
                <w:sz w:val="22"/>
                <w:szCs w:val="22"/>
              </w:rPr>
              <w:t>,</w:t>
            </w:r>
            <w:r w:rsidRPr="00F867E3">
              <w:rPr>
                <w:rFonts w:ascii="Calibri" w:hAnsi="Calibri"/>
                <w:sz w:val="22"/>
                <w:szCs w:val="22"/>
              </w:rPr>
              <w:t xml:space="preserve"> must be provided to the consent authority prior to </w:t>
            </w:r>
            <w:r w:rsidRPr="00F867E3">
              <w:rPr>
                <w:rFonts w:ascii="Calibri" w:hAnsi="Calibri" w:cs="Calibri"/>
                <w:iCs/>
                <w:sz w:val="22"/>
                <w:szCs w:val="22"/>
              </w:rPr>
              <w:t>the release of the Construction Certificate.</w:t>
            </w:r>
          </w:p>
          <w:p w:rsidR="004C4B64" w:rsidRPr="00B24FEF" w:rsidRDefault="004C4B64" w:rsidP="0039097E">
            <w:pPr>
              <w:jc w:val="both"/>
              <w:rPr>
                <w:szCs w:val="22"/>
              </w:rPr>
            </w:pPr>
          </w:p>
        </w:tc>
      </w:tr>
    </w:tbl>
    <w:p w:rsidR="004C4B64" w:rsidRDefault="004C4B64" w:rsidP="004C4B64">
      <w:pPr>
        <w:rPr>
          <w:noProof/>
        </w:rPr>
      </w:pPr>
    </w:p>
    <w:p w:rsidR="004C4B64" w:rsidRDefault="004C4B64" w:rsidP="004C4B64">
      <w:r>
        <w:rPr>
          <w:noProof/>
        </w:rPr>
        <w:drawing>
          <wp:inline distT="0" distB="0" distL="0" distR="0">
            <wp:extent cx="6286500" cy="1257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1257300"/>
                    </a:xfrm>
                    <a:prstGeom prst="rect">
                      <a:avLst/>
                    </a:prstGeom>
                    <a:noFill/>
                    <a:ln>
                      <a:noFill/>
                    </a:ln>
                  </pic:spPr>
                </pic:pic>
              </a:graphicData>
            </a:graphic>
          </wp:inline>
        </w:drawing>
      </w:r>
      <w:r>
        <w:t xml:space="preserve"> </w:t>
      </w:r>
    </w:p>
    <w:p w:rsidR="004C4B64" w:rsidRDefault="004C4B64" w:rsidP="004C4B64"/>
    <w:p w:rsidR="004C4B64" w:rsidRDefault="004C4B64" w:rsidP="004C4B64">
      <w:r>
        <w:rPr>
          <w:noProof/>
        </w:rPr>
        <w:drawing>
          <wp:inline distT="0" distB="0" distL="0" distR="0">
            <wp:extent cx="6257925" cy="11144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7925" cy="1114425"/>
                    </a:xfrm>
                    <a:prstGeom prst="rect">
                      <a:avLst/>
                    </a:prstGeom>
                    <a:noFill/>
                    <a:ln>
                      <a:noFill/>
                    </a:ln>
                  </pic:spPr>
                </pic:pic>
              </a:graphicData>
            </a:graphic>
          </wp:inline>
        </w:drawing>
      </w:r>
    </w:p>
    <w:p w:rsidR="004C4B64" w:rsidRDefault="004C4B64" w:rsidP="004C4B64">
      <w:pPr>
        <w:ind w:firstLine="720"/>
      </w:pPr>
    </w:p>
    <w:p w:rsidR="004C4B64" w:rsidRDefault="004C4B64" w:rsidP="004C4B64">
      <w:r>
        <w:br w:type="page"/>
      </w:r>
    </w:p>
    <w:tbl>
      <w:tblPr>
        <w:tblW w:w="10031" w:type="dxa"/>
        <w:tblLook w:val="01E0" w:firstRow="1" w:lastRow="1" w:firstColumn="1" w:lastColumn="1" w:noHBand="0" w:noVBand="0"/>
      </w:tblPr>
      <w:tblGrid>
        <w:gridCol w:w="495"/>
        <w:gridCol w:w="9536"/>
      </w:tblGrid>
      <w:tr w:rsidR="004C4B64" w:rsidRPr="00B24FEF" w:rsidTr="0039097E">
        <w:tc>
          <w:tcPr>
            <w:tcW w:w="495" w:type="dxa"/>
          </w:tcPr>
          <w:p w:rsidR="004C4B64" w:rsidRDefault="004C4B64" w:rsidP="0039097E">
            <w:pPr>
              <w:rPr>
                <w:rFonts w:cs="Arial"/>
                <w:szCs w:val="22"/>
              </w:rPr>
            </w:pPr>
            <w:r>
              <w:rPr>
                <w:rFonts w:cs="Arial"/>
                <w:szCs w:val="22"/>
              </w:rPr>
              <w:lastRenderedPageBreak/>
              <w:t>21.</w:t>
            </w:r>
          </w:p>
        </w:tc>
        <w:tc>
          <w:tcPr>
            <w:tcW w:w="9536" w:type="dxa"/>
          </w:tcPr>
          <w:p w:rsidR="004C4B64" w:rsidRDefault="004C4B64" w:rsidP="0039097E">
            <w:pPr>
              <w:spacing w:after="120"/>
              <w:jc w:val="both"/>
              <w:rPr>
                <w:rFonts w:cs="Calibri"/>
                <w:iCs/>
              </w:rPr>
            </w:pPr>
            <w:r>
              <w:rPr>
                <w:rFonts w:cs="Calibri"/>
                <w:iCs/>
              </w:rPr>
              <w:t xml:space="preserve">In accordance with the Biodiversity Development Assessment Report and Addendums prepared by Eco Logical Australia for the development, the class and number of Species credits as detailed in the tables </w:t>
            </w:r>
            <w:proofErr w:type="gramStart"/>
            <w:r>
              <w:rPr>
                <w:rFonts w:cs="Calibri"/>
                <w:iCs/>
              </w:rPr>
              <w:t>below,</w:t>
            </w:r>
            <w:proofErr w:type="gramEnd"/>
            <w:r>
              <w:rPr>
                <w:rFonts w:cs="Calibri"/>
                <w:iCs/>
              </w:rPr>
              <w:t xml:space="preserve"> must be retired to offset the residual biodiversity impacts of the development.</w:t>
            </w:r>
          </w:p>
          <w:p w:rsidR="004C4B64" w:rsidRPr="00EF5B3C" w:rsidRDefault="004C4B64" w:rsidP="0039097E">
            <w:pPr>
              <w:pStyle w:val="Default"/>
              <w:spacing w:after="120"/>
              <w:jc w:val="both"/>
              <w:rPr>
                <w:rFonts w:ascii="Calibri" w:hAnsi="Calibri"/>
                <w:sz w:val="22"/>
                <w:szCs w:val="22"/>
              </w:rPr>
            </w:pPr>
            <w:r w:rsidRPr="00EF5B3C">
              <w:rPr>
                <w:rFonts w:ascii="Calibri" w:hAnsi="Calibri"/>
                <w:sz w:val="22"/>
                <w:szCs w:val="22"/>
              </w:rPr>
              <w:t xml:space="preserve">The requirement to retire credits may be satisfied by payment to the Biodiversity Conservation Fund of an amount equivalent to the class and number of </w:t>
            </w:r>
            <w:r>
              <w:rPr>
                <w:rFonts w:ascii="Calibri" w:hAnsi="Calibri"/>
                <w:sz w:val="22"/>
                <w:szCs w:val="22"/>
              </w:rPr>
              <w:t>Species</w:t>
            </w:r>
            <w:r w:rsidRPr="00EF5B3C">
              <w:rPr>
                <w:rFonts w:ascii="Calibri" w:hAnsi="Calibri"/>
                <w:sz w:val="22"/>
                <w:szCs w:val="22"/>
              </w:rPr>
              <w:t xml:space="preserve"> credits, as calculated by the BAM Credit Calculator (BAM-C</w:t>
            </w:r>
            <w:r>
              <w:rPr>
                <w:rFonts w:ascii="Calibri" w:hAnsi="Calibri"/>
                <w:sz w:val="22"/>
                <w:szCs w:val="22"/>
              </w:rPr>
              <w:t>).</w:t>
            </w:r>
          </w:p>
          <w:p w:rsidR="004C4B64" w:rsidRPr="00F867E3" w:rsidRDefault="004C4B64" w:rsidP="0039097E">
            <w:pPr>
              <w:pStyle w:val="Default"/>
              <w:jc w:val="both"/>
              <w:rPr>
                <w:rFonts w:ascii="Calibri" w:hAnsi="Calibri" w:cs="Calibri"/>
                <w:iCs/>
                <w:sz w:val="22"/>
                <w:szCs w:val="22"/>
              </w:rPr>
            </w:pPr>
            <w:r w:rsidRPr="00F867E3">
              <w:rPr>
                <w:rFonts w:ascii="Calibri" w:hAnsi="Calibri"/>
                <w:sz w:val="22"/>
                <w:szCs w:val="22"/>
              </w:rPr>
              <w:t xml:space="preserve">Evidence of the retirement of credits or payment to the Biodiversity Conservation Fund in satisfaction of </w:t>
            </w:r>
            <w:r>
              <w:rPr>
                <w:rFonts w:ascii="Calibri" w:hAnsi="Calibri"/>
                <w:sz w:val="22"/>
                <w:szCs w:val="22"/>
              </w:rPr>
              <w:t xml:space="preserve">this </w:t>
            </w:r>
            <w:r w:rsidRPr="00F867E3">
              <w:rPr>
                <w:rFonts w:ascii="Calibri" w:hAnsi="Calibri"/>
                <w:sz w:val="22"/>
                <w:szCs w:val="22"/>
              </w:rPr>
              <w:t>condition</w:t>
            </w:r>
            <w:r>
              <w:rPr>
                <w:rFonts w:ascii="Calibri" w:hAnsi="Calibri"/>
                <w:sz w:val="22"/>
                <w:szCs w:val="22"/>
              </w:rPr>
              <w:t>,</w:t>
            </w:r>
            <w:r w:rsidRPr="00F867E3">
              <w:rPr>
                <w:rFonts w:ascii="Calibri" w:hAnsi="Calibri"/>
                <w:sz w:val="22"/>
                <w:szCs w:val="22"/>
              </w:rPr>
              <w:t xml:space="preserve"> must be provided to the consent authority prior to </w:t>
            </w:r>
            <w:r w:rsidRPr="00F867E3">
              <w:rPr>
                <w:rFonts w:ascii="Calibri" w:hAnsi="Calibri" w:cs="Calibri"/>
                <w:iCs/>
                <w:sz w:val="22"/>
                <w:szCs w:val="22"/>
              </w:rPr>
              <w:t>the release of the Construction Certificate.</w:t>
            </w:r>
          </w:p>
          <w:p w:rsidR="004C4B64" w:rsidRPr="00B24FEF" w:rsidRDefault="004C4B64" w:rsidP="0039097E">
            <w:pPr>
              <w:jc w:val="both"/>
              <w:rPr>
                <w:szCs w:val="22"/>
              </w:rPr>
            </w:pPr>
          </w:p>
        </w:tc>
      </w:tr>
    </w:tbl>
    <w:p w:rsidR="004C4B64" w:rsidRDefault="004C4B64" w:rsidP="004C4B64"/>
    <w:p w:rsidR="004C4B64" w:rsidRDefault="004C4B64" w:rsidP="004C4B64">
      <w:r>
        <w:rPr>
          <w:noProof/>
        </w:rPr>
        <w:drawing>
          <wp:inline distT="0" distB="0" distL="0" distR="0">
            <wp:extent cx="6276975" cy="11239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6975" cy="1123950"/>
                    </a:xfrm>
                    <a:prstGeom prst="rect">
                      <a:avLst/>
                    </a:prstGeom>
                    <a:noFill/>
                    <a:ln>
                      <a:noFill/>
                    </a:ln>
                  </pic:spPr>
                </pic:pic>
              </a:graphicData>
            </a:graphic>
          </wp:inline>
        </w:drawing>
      </w:r>
    </w:p>
    <w:p w:rsidR="004C4B64" w:rsidRDefault="004C4B64" w:rsidP="004C4B64">
      <w:r>
        <w:rPr>
          <w:noProof/>
        </w:rPr>
        <w:drawing>
          <wp:inline distT="0" distB="0" distL="0" distR="0">
            <wp:extent cx="6315075" cy="3200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5075" cy="3200400"/>
                    </a:xfrm>
                    <a:prstGeom prst="rect">
                      <a:avLst/>
                    </a:prstGeom>
                    <a:noFill/>
                    <a:ln>
                      <a:noFill/>
                    </a:ln>
                  </pic:spPr>
                </pic:pic>
              </a:graphicData>
            </a:graphic>
          </wp:inline>
        </w:drawing>
      </w:r>
    </w:p>
    <w:p w:rsidR="004C4B64" w:rsidRDefault="004C4B64" w:rsidP="004C4B64">
      <w:r>
        <w:rPr>
          <w:noProof/>
        </w:rPr>
        <w:drawing>
          <wp:inline distT="0" distB="0" distL="0" distR="0">
            <wp:extent cx="6343650" cy="1333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3650" cy="1333500"/>
                    </a:xfrm>
                    <a:prstGeom prst="rect">
                      <a:avLst/>
                    </a:prstGeom>
                    <a:noFill/>
                    <a:ln>
                      <a:noFill/>
                    </a:ln>
                  </pic:spPr>
                </pic:pic>
              </a:graphicData>
            </a:graphic>
          </wp:inline>
        </w:drawing>
      </w:r>
    </w:p>
    <w:p w:rsidR="004C4B64" w:rsidRDefault="004C4B64" w:rsidP="004C4B64"/>
    <w:p w:rsidR="004C4B64" w:rsidRDefault="004C4B64" w:rsidP="004C4B64">
      <w:r>
        <w:br w:type="page"/>
      </w:r>
    </w:p>
    <w:tbl>
      <w:tblPr>
        <w:tblW w:w="10031" w:type="dxa"/>
        <w:tblLook w:val="01E0" w:firstRow="1" w:lastRow="1" w:firstColumn="1" w:lastColumn="1" w:noHBand="0" w:noVBand="0"/>
      </w:tblPr>
      <w:tblGrid>
        <w:gridCol w:w="495"/>
        <w:gridCol w:w="9536"/>
      </w:tblGrid>
      <w:tr w:rsidR="004C4B64" w:rsidTr="0039097E">
        <w:tc>
          <w:tcPr>
            <w:tcW w:w="495" w:type="dxa"/>
          </w:tcPr>
          <w:p w:rsidR="004C4B64" w:rsidRDefault="004C4B64" w:rsidP="0039097E">
            <w:pPr>
              <w:rPr>
                <w:rFonts w:cs="Arial"/>
                <w:szCs w:val="22"/>
              </w:rPr>
            </w:pPr>
            <w:r>
              <w:rPr>
                <w:rFonts w:cs="Arial"/>
                <w:szCs w:val="22"/>
              </w:rPr>
              <w:lastRenderedPageBreak/>
              <w:t>22.</w:t>
            </w:r>
          </w:p>
        </w:tc>
        <w:tc>
          <w:tcPr>
            <w:tcW w:w="9536" w:type="dxa"/>
          </w:tcPr>
          <w:p w:rsidR="004C4B64" w:rsidRDefault="004C4B64" w:rsidP="0039097E">
            <w:pPr>
              <w:spacing w:after="120"/>
              <w:jc w:val="both"/>
              <w:rPr>
                <w:rFonts w:cs="Calibri Light"/>
              </w:rPr>
            </w:pPr>
            <w:r>
              <w:rPr>
                <w:rFonts w:cs="Calibri Light"/>
              </w:rPr>
              <w:t xml:space="preserve">Pursuant to Section 7.12 of the </w:t>
            </w:r>
            <w:r w:rsidRPr="00C05EDA">
              <w:rPr>
                <w:rFonts w:cs="Calibri Light"/>
                <w:i/>
              </w:rPr>
              <w:t>Environmental Planning and Assessment Act 1979</w:t>
            </w:r>
            <w:r>
              <w:rPr>
                <w:rFonts w:cs="Calibri Light"/>
              </w:rPr>
              <w:t xml:space="preserve">, the monetary contribution set out in the following table is to be paid to Council prior to the issue of a Construction Certificate. </w:t>
            </w:r>
          </w:p>
          <w:p w:rsidR="004C4B64" w:rsidRDefault="004C4B64" w:rsidP="0039097E">
            <w:pPr>
              <w:spacing w:after="120"/>
              <w:jc w:val="both"/>
              <w:rPr>
                <w:rFonts w:cs="Calibri Light"/>
              </w:rPr>
            </w:pPr>
            <w:r>
              <w:rPr>
                <w:rFonts w:cs="Calibri Light"/>
              </w:rPr>
              <w:t>The contribution is current as at the date of this consent and is levied in accordance with the Armidale Regional Council Section 7.12 Contributions Plan 2018, adopted on 1 November 2018, which may be viewed during office hours at Council’s Customer Service Centres, 135 Rusden St, Armidale, or 158 Bradley Street, Guyra and on Council’s website</w:t>
            </w:r>
            <w:r>
              <w:rPr>
                <w:rFonts w:cs="Calibri Light"/>
                <w:spacing w:val="-18"/>
              </w:rPr>
              <w:t xml:space="preserve"> </w:t>
            </w:r>
            <w:hyperlink r:id="rId13" w:history="1">
              <w:r>
                <w:rPr>
                  <w:rStyle w:val="Hyperlink"/>
                  <w:rFonts w:cs="Calibri Light"/>
                </w:rPr>
                <w:t>www.armidaleregional.nsw.gov.au.</w:t>
              </w:r>
            </w:hyperlink>
          </w:p>
          <w:p w:rsidR="004C4B64" w:rsidRDefault="004C4B64" w:rsidP="0039097E">
            <w:pPr>
              <w:pStyle w:val="BodyText"/>
              <w:rPr>
                <w:sz w:val="22"/>
                <w:szCs w:val="22"/>
              </w:rPr>
            </w:pPr>
            <w:r>
              <w:rPr>
                <w:sz w:val="22"/>
                <w:szCs w:val="22"/>
              </w:rPr>
              <w:t>The contribution payable will be calculated in accordance with the contributions plan current at the time of payment, and will be adjusted</w:t>
            </w:r>
            <w:r>
              <w:rPr>
                <w:spacing w:val="-3"/>
                <w:sz w:val="22"/>
                <w:szCs w:val="22"/>
              </w:rPr>
              <w:t xml:space="preserve"> </w:t>
            </w:r>
            <w:r>
              <w:rPr>
                <w:sz w:val="22"/>
                <w:szCs w:val="22"/>
              </w:rPr>
              <w:t>at</w:t>
            </w:r>
            <w:r>
              <w:rPr>
                <w:spacing w:val="-2"/>
                <w:sz w:val="22"/>
                <w:szCs w:val="22"/>
              </w:rPr>
              <w:t xml:space="preserve"> </w:t>
            </w:r>
            <w:r>
              <w:rPr>
                <w:sz w:val="22"/>
                <w:szCs w:val="22"/>
              </w:rPr>
              <w:t>the</w:t>
            </w:r>
            <w:r>
              <w:rPr>
                <w:spacing w:val="-3"/>
                <w:sz w:val="22"/>
                <w:szCs w:val="22"/>
              </w:rPr>
              <w:t xml:space="preserve"> </w:t>
            </w:r>
            <w:r>
              <w:rPr>
                <w:sz w:val="22"/>
                <w:szCs w:val="22"/>
              </w:rPr>
              <w:t>time</w:t>
            </w:r>
            <w:r>
              <w:rPr>
                <w:spacing w:val="-3"/>
                <w:sz w:val="22"/>
                <w:szCs w:val="22"/>
              </w:rPr>
              <w:t xml:space="preserve"> </w:t>
            </w:r>
            <w:r>
              <w:rPr>
                <w:sz w:val="22"/>
                <w:szCs w:val="22"/>
              </w:rPr>
              <w:t>of</w:t>
            </w:r>
            <w:r>
              <w:rPr>
                <w:spacing w:val="-3"/>
                <w:sz w:val="22"/>
                <w:szCs w:val="22"/>
              </w:rPr>
              <w:t xml:space="preserve"> </w:t>
            </w:r>
            <w:r>
              <w:rPr>
                <w:sz w:val="22"/>
                <w:szCs w:val="22"/>
              </w:rPr>
              <w:t>payment</w:t>
            </w:r>
            <w:r>
              <w:rPr>
                <w:spacing w:val="-2"/>
                <w:sz w:val="22"/>
                <w:szCs w:val="22"/>
              </w:rPr>
              <w:t xml:space="preserve"> </w:t>
            </w:r>
            <w:r>
              <w:rPr>
                <w:sz w:val="22"/>
                <w:szCs w:val="22"/>
              </w:rPr>
              <w:t>in</w:t>
            </w:r>
            <w:r>
              <w:rPr>
                <w:spacing w:val="-3"/>
                <w:sz w:val="22"/>
                <w:szCs w:val="22"/>
              </w:rPr>
              <w:t xml:space="preserve"> </w:t>
            </w:r>
            <w:r>
              <w:rPr>
                <w:sz w:val="22"/>
                <w:szCs w:val="22"/>
              </w:rPr>
              <w:t>accordance</w:t>
            </w:r>
            <w:r>
              <w:rPr>
                <w:spacing w:val="-3"/>
                <w:sz w:val="22"/>
                <w:szCs w:val="22"/>
              </w:rPr>
              <w:t xml:space="preserve"> </w:t>
            </w:r>
            <w:r>
              <w:rPr>
                <w:sz w:val="22"/>
                <w:szCs w:val="22"/>
              </w:rPr>
              <w:t>with</w:t>
            </w:r>
            <w:r>
              <w:rPr>
                <w:spacing w:val="-4"/>
                <w:sz w:val="22"/>
                <w:szCs w:val="22"/>
              </w:rPr>
              <w:t xml:space="preserve"> </w:t>
            </w:r>
            <w:r>
              <w:rPr>
                <w:sz w:val="22"/>
                <w:szCs w:val="22"/>
              </w:rPr>
              <w:t>the</w:t>
            </w:r>
            <w:r>
              <w:rPr>
                <w:spacing w:val="-3"/>
                <w:sz w:val="22"/>
                <w:szCs w:val="22"/>
              </w:rPr>
              <w:t xml:space="preserve"> </w:t>
            </w:r>
            <w:r>
              <w:rPr>
                <w:sz w:val="22"/>
                <w:szCs w:val="22"/>
              </w:rPr>
              <w:t>Consumer Price</w:t>
            </w:r>
            <w:r>
              <w:rPr>
                <w:spacing w:val="-3"/>
                <w:sz w:val="22"/>
                <w:szCs w:val="22"/>
              </w:rPr>
              <w:t xml:space="preserve"> </w:t>
            </w:r>
            <w:r>
              <w:rPr>
                <w:sz w:val="22"/>
                <w:szCs w:val="22"/>
              </w:rPr>
              <w:t>Index</w:t>
            </w:r>
            <w:r>
              <w:rPr>
                <w:spacing w:val="-4"/>
                <w:sz w:val="22"/>
                <w:szCs w:val="22"/>
              </w:rPr>
              <w:t xml:space="preserve"> </w:t>
            </w:r>
            <w:r>
              <w:rPr>
                <w:sz w:val="22"/>
                <w:szCs w:val="22"/>
              </w:rPr>
              <w:t>(CPI)</w:t>
            </w:r>
            <w:r>
              <w:rPr>
                <w:spacing w:val="-2"/>
                <w:sz w:val="22"/>
                <w:szCs w:val="22"/>
              </w:rPr>
              <w:t xml:space="preserve"> </w:t>
            </w:r>
            <w:r>
              <w:rPr>
                <w:sz w:val="22"/>
                <w:szCs w:val="22"/>
              </w:rPr>
              <w:t>(All</w:t>
            </w:r>
            <w:r>
              <w:rPr>
                <w:spacing w:val="-3"/>
                <w:sz w:val="22"/>
                <w:szCs w:val="22"/>
              </w:rPr>
              <w:t xml:space="preserve"> </w:t>
            </w:r>
            <w:r>
              <w:rPr>
                <w:sz w:val="22"/>
                <w:szCs w:val="22"/>
              </w:rPr>
              <w:t>Groups</w:t>
            </w:r>
            <w:r>
              <w:rPr>
                <w:spacing w:val="-3"/>
                <w:sz w:val="22"/>
                <w:szCs w:val="22"/>
              </w:rPr>
              <w:t xml:space="preserve"> </w:t>
            </w:r>
            <w:r>
              <w:rPr>
                <w:sz w:val="22"/>
                <w:szCs w:val="22"/>
              </w:rPr>
              <w:t>Index</w:t>
            </w:r>
            <w:r>
              <w:rPr>
                <w:spacing w:val="-4"/>
                <w:sz w:val="22"/>
                <w:szCs w:val="22"/>
              </w:rPr>
              <w:t xml:space="preserve"> </w:t>
            </w:r>
            <w:r>
              <w:rPr>
                <w:sz w:val="22"/>
                <w:szCs w:val="22"/>
              </w:rPr>
              <w:t>for</w:t>
            </w:r>
            <w:r>
              <w:rPr>
                <w:spacing w:val="-2"/>
                <w:sz w:val="22"/>
                <w:szCs w:val="22"/>
              </w:rPr>
              <w:t xml:space="preserve"> </w:t>
            </w:r>
            <w:r>
              <w:rPr>
                <w:sz w:val="22"/>
                <w:szCs w:val="22"/>
              </w:rPr>
              <w:t>Sydney)</w:t>
            </w:r>
            <w:r>
              <w:rPr>
                <w:spacing w:val="-2"/>
                <w:sz w:val="22"/>
                <w:szCs w:val="22"/>
              </w:rPr>
              <w:t xml:space="preserve"> </w:t>
            </w:r>
            <w:r>
              <w:rPr>
                <w:sz w:val="22"/>
                <w:szCs w:val="22"/>
              </w:rPr>
              <w:t>published by</w:t>
            </w:r>
            <w:r>
              <w:rPr>
                <w:spacing w:val="5"/>
                <w:sz w:val="22"/>
                <w:szCs w:val="22"/>
              </w:rPr>
              <w:t xml:space="preserve"> </w:t>
            </w:r>
            <w:r>
              <w:rPr>
                <w:sz w:val="22"/>
                <w:szCs w:val="22"/>
              </w:rPr>
              <w:t>the Australian</w:t>
            </w:r>
            <w:r>
              <w:rPr>
                <w:spacing w:val="-3"/>
                <w:sz w:val="22"/>
                <w:szCs w:val="22"/>
              </w:rPr>
              <w:t xml:space="preserve"> </w:t>
            </w:r>
            <w:r>
              <w:rPr>
                <w:sz w:val="22"/>
                <w:szCs w:val="22"/>
              </w:rPr>
              <w:t>Bureau</w:t>
            </w:r>
            <w:r>
              <w:rPr>
                <w:spacing w:val="-3"/>
                <w:sz w:val="22"/>
                <w:szCs w:val="22"/>
              </w:rPr>
              <w:t xml:space="preserve"> </w:t>
            </w:r>
            <w:r>
              <w:rPr>
                <w:sz w:val="22"/>
                <w:szCs w:val="22"/>
              </w:rPr>
              <w:t>of</w:t>
            </w:r>
            <w:r>
              <w:rPr>
                <w:spacing w:val="-3"/>
                <w:sz w:val="22"/>
                <w:szCs w:val="22"/>
              </w:rPr>
              <w:t xml:space="preserve"> </w:t>
            </w:r>
            <w:r>
              <w:rPr>
                <w:sz w:val="22"/>
                <w:szCs w:val="22"/>
              </w:rPr>
              <w:t>Statistic</w:t>
            </w:r>
            <w:r>
              <w:rPr>
                <w:spacing w:val="-2"/>
                <w:sz w:val="22"/>
                <w:szCs w:val="22"/>
              </w:rPr>
              <w:t xml:space="preserve"> </w:t>
            </w:r>
            <w:r>
              <w:rPr>
                <w:sz w:val="22"/>
                <w:szCs w:val="22"/>
              </w:rPr>
              <w:t>(ABS).</w:t>
            </w:r>
            <w:r>
              <w:rPr>
                <w:spacing w:val="-3"/>
                <w:sz w:val="22"/>
                <w:szCs w:val="22"/>
              </w:rPr>
              <w:t xml:space="preserve"> </w:t>
            </w:r>
            <w:r>
              <w:rPr>
                <w:sz w:val="22"/>
                <w:szCs w:val="22"/>
              </w:rPr>
              <w:t>Contribution</w:t>
            </w:r>
            <w:r>
              <w:rPr>
                <w:spacing w:val="-3"/>
                <w:sz w:val="22"/>
                <w:szCs w:val="22"/>
              </w:rPr>
              <w:t xml:space="preserve"> </w:t>
            </w:r>
            <w:r>
              <w:rPr>
                <w:sz w:val="22"/>
                <w:szCs w:val="22"/>
              </w:rPr>
              <w:t>amounts</w:t>
            </w:r>
            <w:r>
              <w:rPr>
                <w:spacing w:val="-4"/>
                <w:sz w:val="22"/>
                <w:szCs w:val="22"/>
              </w:rPr>
              <w:t xml:space="preserve"> </w:t>
            </w:r>
            <w:r>
              <w:rPr>
                <w:sz w:val="22"/>
                <w:szCs w:val="22"/>
              </w:rPr>
              <w:t>will be adjusted</w:t>
            </w:r>
            <w:r>
              <w:rPr>
                <w:spacing w:val="-3"/>
                <w:sz w:val="22"/>
                <w:szCs w:val="22"/>
              </w:rPr>
              <w:t xml:space="preserve"> </w:t>
            </w:r>
            <w:r>
              <w:rPr>
                <w:sz w:val="22"/>
                <w:szCs w:val="22"/>
              </w:rPr>
              <w:t>by</w:t>
            </w:r>
            <w:r>
              <w:rPr>
                <w:spacing w:val="-2"/>
                <w:sz w:val="22"/>
                <w:szCs w:val="22"/>
              </w:rPr>
              <w:t xml:space="preserve"> </w:t>
            </w:r>
            <w:r>
              <w:rPr>
                <w:sz w:val="22"/>
                <w:szCs w:val="22"/>
              </w:rPr>
              <w:t>Council</w:t>
            </w:r>
            <w:r>
              <w:rPr>
                <w:spacing w:val="-3"/>
                <w:sz w:val="22"/>
                <w:szCs w:val="22"/>
              </w:rPr>
              <w:t xml:space="preserve"> </w:t>
            </w:r>
            <w:r>
              <w:rPr>
                <w:sz w:val="22"/>
                <w:szCs w:val="22"/>
              </w:rPr>
              <w:t>each</w:t>
            </w:r>
            <w:r>
              <w:rPr>
                <w:spacing w:val="-3"/>
                <w:sz w:val="22"/>
                <w:szCs w:val="22"/>
              </w:rPr>
              <w:t xml:space="preserve"> </w:t>
            </w:r>
            <w:r>
              <w:rPr>
                <w:sz w:val="22"/>
                <w:szCs w:val="22"/>
              </w:rPr>
              <w:t>quarter.</w:t>
            </w:r>
          </w:p>
          <w:tbl>
            <w:tblPr>
              <w:tblW w:w="92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0" w:type="dxa"/>
              </w:tblCellMar>
              <w:tblLook w:val="01E0" w:firstRow="1" w:lastRow="1" w:firstColumn="1" w:lastColumn="1" w:noHBand="0" w:noVBand="0"/>
            </w:tblPr>
            <w:tblGrid>
              <w:gridCol w:w="2660"/>
              <w:gridCol w:w="1844"/>
              <w:gridCol w:w="1277"/>
              <w:gridCol w:w="1560"/>
              <w:gridCol w:w="1878"/>
            </w:tblGrid>
            <w:tr w:rsidR="004C4B64" w:rsidTr="0039097E">
              <w:trPr>
                <w:trHeight w:hRule="exact" w:val="904"/>
              </w:trPr>
              <w:tc>
                <w:tcPr>
                  <w:tcW w:w="2660" w:type="dxa"/>
                  <w:tcBorders>
                    <w:top w:val="single" w:sz="4" w:space="0" w:color="A6A6A6"/>
                    <w:left w:val="single" w:sz="4" w:space="0" w:color="A6A6A6"/>
                    <w:bottom w:val="single" w:sz="4" w:space="0" w:color="A6A6A6"/>
                    <w:right w:val="single" w:sz="4" w:space="0" w:color="A6A6A6"/>
                  </w:tcBorders>
                  <w:hideMark/>
                </w:tcPr>
                <w:p w:rsidR="004C4B64" w:rsidRDefault="004C4B64" w:rsidP="0039097E">
                  <w:pPr>
                    <w:pStyle w:val="BodyText"/>
                    <w:spacing w:line="276" w:lineRule="auto"/>
                    <w:rPr>
                      <w:sz w:val="18"/>
                    </w:rPr>
                  </w:pPr>
                  <w:r>
                    <w:rPr>
                      <w:sz w:val="18"/>
                    </w:rPr>
                    <w:t>Contribution Type</w:t>
                  </w:r>
                </w:p>
              </w:tc>
              <w:tc>
                <w:tcPr>
                  <w:tcW w:w="1844" w:type="dxa"/>
                  <w:tcBorders>
                    <w:top w:val="single" w:sz="4" w:space="0" w:color="A6A6A6"/>
                    <w:left w:val="single" w:sz="4" w:space="0" w:color="A6A6A6"/>
                    <w:bottom w:val="single" w:sz="4" w:space="0" w:color="A6A6A6"/>
                    <w:right w:val="single" w:sz="4" w:space="0" w:color="A6A6A6"/>
                  </w:tcBorders>
                  <w:hideMark/>
                </w:tcPr>
                <w:p w:rsidR="004C4B64" w:rsidRDefault="004C4B64" w:rsidP="0039097E">
                  <w:pPr>
                    <w:pStyle w:val="BodyText"/>
                    <w:spacing w:line="276" w:lineRule="auto"/>
                    <w:rPr>
                      <w:sz w:val="18"/>
                    </w:rPr>
                  </w:pPr>
                  <w:r>
                    <w:rPr>
                      <w:sz w:val="18"/>
                    </w:rPr>
                    <w:t>Proposed Cost of Development *</w:t>
                  </w:r>
                </w:p>
              </w:tc>
              <w:tc>
                <w:tcPr>
                  <w:tcW w:w="1277" w:type="dxa"/>
                  <w:tcBorders>
                    <w:top w:val="single" w:sz="4" w:space="0" w:color="A6A6A6"/>
                    <w:left w:val="single" w:sz="4" w:space="0" w:color="A6A6A6"/>
                    <w:bottom w:val="single" w:sz="4" w:space="0" w:color="A6A6A6"/>
                    <w:right w:val="single" w:sz="4" w:space="0" w:color="A6A6A6"/>
                  </w:tcBorders>
                  <w:hideMark/>
                </w:tcPr>
                <w:p w:rsidR="004C4B64" w:rsidRDefault="004C4B64" w:rsidP="0039097E">
                  <w:pPr>
                    <w:pStyle w:val="BodyText"/>
                    <w:spacing w:line="276" w:lineRule="auto"/>
                    <w:rPr>
                      <w:sz w:val="18"/>
                    </w:rPr>
                  </w:pPr>
                  <w:r>
                    <w:rPr>
                      <w:sz w:val="18"/>
                    </w:rPr>
                    <w:t>Levy Percentage</w:t>
                  </w:r>
                </w:p>
              </w:tc>
              <w:tc>
                <w:tcPr>
                  <w:tcW w:w="1560" w:type="dxa"/>
                  <w:tcBorders>
                    <w:top w:val="single" w:sz="4" w:space="0" w:color="A6A6A6"/>
                    <w:left w:val="single" w:sz="4" w:space="0" w:color="A6A6A6"/>
                    <w:bottom w:val="single" w:sz="4" w:space="0" w:color="A6A6A6"/>
                    <w:right w:val="single" w:sz="4" w:space="0" w:color="A6A6A6"/>
                  </w:tcBorders>
                  <w:hideMark/>
                </w:tcPr>
                <w:p w:rsidR="004C4B64" w:rsidRDefault="004C4B64" w:rsidP="0039097E">
                  <w:pPr>
                    <w:pStyle w:val="BodyText"/>
                    <w:spacing w:line="276" w:lineRule="auto"/>
                    <w:rPr>
                      <w:sz w:val="18"/>
                    </w:rPr>
                  </w:pPr>
                  <w:r>
                    <w:rPr>
                      <w:sz w:val="18"/>
                    </w:rPr>
                    <w:t>Total Contribution</w:t>
                  </w:r>
                </w:p>
              </w:tc>
              <w:tc>
                <w:tcPr>
                  <w:tcW w:w="1878" w:type="dxa"/>
                  <w:tcBorders>
                    <w:top w:val="single" w:sz="4" w:space="0" w:color="A6A6A6"/>
                    <w:left w:val="single" w:sz="4" w:space="0" w:color="A6A6A6"/>
                    <w:bottom w:val="single" w:sz="4" w:space="0" w:color="A6A6A6"/>
                    <w:right w:val="single" w:sz="4" w:space="0" w:color="A6A6A6"/>
                  </w:tcBorders>
                  <w:hideMark/>
                </w:tcPr>
                <w:p w:rsidR="004C4B64" w:rsidRDefault="004C4B64" w:rsidP="0039097E">
                  <w:pPr>
                    <w:pStyle w:val="BodyText"/>
                    <w:spacing w:line="276" w:lineRule="auto"/>
                    <w:rPr>
                      <w:i/>
                      <w:sz w:val="18"/>
                    </w:rPr>
                  </w:pPr>
                  <w:r>
                    <w:rPr>
                      <w:sz w:val="18"/>
                    </w:rPr>
                    <w:t xml:space="preserve">Contribution Rate remains current until </w:t>
                  </w:r>
                  <w:r>
                    <w:rPr>
                      <w:i/>
                      <w:sz w:val="18"/>
                    </w:rPr>
                    <w:t>first date of next quarter</w:t>
                  </w:r>
                </w:p>
              </w:tc>
            </w:tr>
            <w:tr w:rsidR="004C4B64" w:rsidTr="0039097E">
              <w:trPr>
                <w:trHeight w:hRule="exact" w:val="373"/>
              </w:trPr>
              <w:tc>
                <w:tcPr>
                  <w:tcW w:w="2660" w:type="dxa"/>
                  <w:tcBorders>
                    <w:top w:val="single" w:sz="4" w:space="0" w:color="A6A6A6"/>
                    <w:left w:val="single" w:sz="4" w:space="0" w:color="A6A6A6"/>
                    <w:bottom w:val="single" w:sz="4" w:space="0" w:color="A6A6A6"/>
                    <w:right w:val="single" w:sz="4" w:space="0" w:color="A6A6A6"/>
                  </w:tcBorders>
                  <w:hideMark/>
                </w:tcPr>
                <w:p w:rsidR="004C4B64" w:rsidRDefault="004C4B64" w:rsidP="0039097E">
                  <w:pPr>
                    <w:pStyle w:val="BodyText"/>
                    <w:spacing w:line="276" w:lineRule="auto"/>
                    <w:rPr>
                      <w:sz w:val="18"/>
                    </w:rPr>
                  </w:pPr>
                  <w:r>
                    <w:rPr>
                      <w:sz w:val="18"/>
                    </w:rPr>
                    <w:t>Section 7.12 Contribution</w:t>
                  </w:r>
                </w:p>
              </w:tc>
              <w:tc>
                <w:tcPr>
                  <w:tcW w:w="1844" w:type="dxa"/>
                  <w:tcBorders>
                    <w:top w:val="single" w:sz="4" w:space="0" w:color="A6A6A6"/>
                    <w:left w:val="single" w:sz="4" w:space="0" w:color="A6A6A6"/>
                    <w:bottom w:val="single" w:sz="4" w:space="0" w:color="A6A6A6"/>
                    <w:right w:val="single" w:sz="4" w:space="0" w:color="A6A6A6"/>
                  </w:tcBorders>
                  <w:hideMark/>
                </w:tcPr>
                <w:p w:rsidR="004C4B64" w:rsidRDefault="004C4B64" w:rsidP="0039097E">
                  <w:pPr>
                    <w:pStyle w:val="BodyText"/>
                    <w:spacing w:line="276" w:lineRule="auto"/>
                    <w:rPr>
                      <w:sz w:val="18"/>
                    </w:rPr>
                  </w:pPr>
                  <w:r>
                    <w:rPr>
                      <w:sz w:val="18"/>
                    </w:rPr>
                    <w:t>$32,120,000</w:t>
                  </w:r>
                </w:p>
              </w:tc>
              <w:tc>
                <w:tcPr>
                  <w:tcW w:w="1277" w:type="dxa"/>
                  <w:tcBorders>
                    <w:top w:val="single" w:sz="4" w:space="0" w:color="A6A6A6"/>
                    <w:left w:val="single" w:sz="4" w:space="0" w:color="A6A6A6"/>
                    <w:bottom w:val="single" w:sz="4" w:space="0" w:color="A6A6A6"/>
                    <w:right w:val="single" w:sz="4" w:space="0" w:color="A6A6A6"/>
                  </w:tcBorders>
                  <w:hideMark/>
                </w:tcPr>
                <w:p w:rsidR="004C4B64" w:rsidRDefault="004C4B64" w:rsidP="0039097E">
                  <w:pPr>
                    <w:pStyle w:val="BodyText"/>
                    <w:spacing w:line="276" w:lineRule="auto"/>
                    <w:rPr>
                      <w:sz w:val="18"/>
                    </w:rPr>
                  </w:pPr>
                  <w:r>
                    <w:rPr>
                      <w:sz w:val="18"/>
                    </w:rPr>
                    <w:t>1.0%</w:t>
                  </w:r>
                </w:p>
              </w:tc>
              <w:tc>
                <w:tcPr>
                  <w:tcW w:w="1560" w:type="dxa"/>
                  <w:tcBorders>
                    <w:top w:val="single" w:sz="4" w:space="0" w:color="A6A6A6"/>
                    <w:left w:val="single" w:sz="4" w:space="0" w:color="A6A6A6"/>
                    <w:bottom w:val="single" w:sz="4" w:space="0" w:color="A6A6A6"/>
                    <w:right w:val="single" w:sz="4" w:space="0" w:color="A6A6A6"/>
                  </w:tcBorders>
                  <w:hideMark/>
                </w:tcPr>
                <w:p w:rsidR="004C4B64" w:rsidRDefault="004C4B64" w:rsidP="0039097E">
                  <w:pPr>
                    <w:pStyle w:val="BodyText"/>
                    <w:spacing w:line="276" w:lineRule="auto"/>
                    <w:rPr>
                      <w:sz w:val="18"/>
                    </w:rPr>
                  </w:pPr>
                  <w:r>
                    <w:rPr>
                      <w:sz w:val="18"/>
                    </w:rPr>
                    <w:t>$321,200</w:t>
                  </w:r>
                </w:p>
              </w:tc>
              <w:tc>
                <w:tcPr>
                  <w:tcW w:w="1878" w:type="dxa"/>
                  <w:tcBorders>
                    <w:top w:val="single" w:sz="4" w:space="0" w:color="A6A6A6"/>
                    <w:left w:val="single" w:sz="4" w:space="0" w:color="A6A6A6"/>
                    <w:bottom w:val="single" w:sz="4" w:space="0" w:color="A6A6A6"/>
                    <w:right w:val="single" w:sz="4" w:space="0" w:color="A6A6A6"/>
                  </w:tcBorders>
                  <w:hideMark/>
                </w:tcPr>
                <w:p w:rsidR="004C4B64" w:rsidRDefault="004C4B64" w:rsidP="0039097E">
                  <w:pPr>
                    <w:pStyle w:val="BodyText"/>
                    <w:spacing w:line="276" w:lineRule="auto"/>
                    <w:rPr>
                      <w:sz w:val="18"/>
                    </w:rPr>
                  </w:pPr>
                  <w:r>
                    <w:rPr>
                      <w:sz w:val="18"/>
                    </w:rPr>
                    <w:t>1.1.2020</w:t>
                  </w:r>
                </w:p>
              </w:tc>
            </w:tr>
          </w:tbl>
          <w:p w:rsidR="004C4B64" w:rsidRDefault="004C4B64" w:rsidP="0039097E">
            <w:pPr>
              <w:pStyle w:val="BodyText"/>
              <w:rPr>
                <w:sz w:val="18"/>
              </w:rPr>
            </w:pPr>
            <w:r>
              <w:rPr>
                <w:sz w:val="18"/>
              </w:rPr>
              <w:t>*Proposed cost of carrying out the development less any credits which may apply.</w:t>
            </w:r>
          </w:p>
          <w:p w:rsidR="004C4B64" w:rsidRDefault="004C4B64" w:rsidP="0039097E">
            <w:pPr>
              <w:jc w:val="both"/>
              <w:rPr>
                <w:rFonts w:cs="Calibri"/>
                <w:iCs/>
              </w:rPr>
            </w:pPr>
          </w:p>
        </w:tc>
      </w:tr>
      <w:tr w:rsidR="004C4B64" w:rsidTr="0039097E">
        <w:tc>
          <w:tcPr>
            <w:tcW w:w="495" w:type="dxa"/>
          </w:tcPr>
          <w:p w:rsidR="004C4B64" w:rsidRDefault="004C4B64" w:rsidP="0039097E">
            <w:pPr>
              <w:rPr>
                <w:rFonts w:cs="Arial"/>
                <w:szCs w:val="22"/>
              </w:rPr>
            </w:pPr>
            <w:r>
              <w:rPr>
                <w:rFonts w:cs="Arial"/>
                <w:szCs w:val="22"/>
              </w:rPr>
              <w:t>23.</w:t>
            </w:r>
          </w:p>
        </w:tc>
        <w:tc>
          <w:tcPr>
            <w:tcW w:w="9536" w:type="dxa"/>
          </w:tcPr>
          <w:p w:rsidR="004C4B64" w:rsidRDefault="004C4B64" w:rsidP="0039097E">
            <w:pPr>
              <w:spacing w:after="120"/>
              <w:jc w:val="both"/>
              <w:rPr>
                <w:rFonts w:cs="Calibri Light"/>
              </w:rPr>
            </w:pPr>
            <w:r>
              <w:t>Approval is to be obtained from Council as the roads authority pursuant to s138 of the Roads Act 1993 for all construction work required on Council road reserves.</w:t>
            </w:r>
          </w:p>
        </w:tc>
      </w:tr>
    </w:tbl>
    <w:p w:rsidR="004C4B64" w:rsidRPr="00174108" w:rsidRDefault="004C4B64" w:rsidP="004C4B64">
      <w:pPr>
        <w:spacing w:before="120" w:after="120"/>
        <w:jc w:val="both"/>
        <w:rPr>
          <w:rFonts w:cs="Arial"/>
          <w:b/>
          <w:szCs w:val="22"/>
          <w:lang w:val="en-US"/>
        </w:rPr>
      </w:pPr>
      <w:r w:rsidRPr="00174108">
        <w:rPr>
          <w:rFonts w:cs="Arial"/>
          <w:b/>
          <w:szCs w:val="22"/>
          <w:lang w:val="en-US"/>
        </w:rPr>
        <w:t>DURING CONSTRUCTION</w:t>
      </w:r>
    </w:p>
    <w:p w:rsidR="004C4B64" w:rsidRPr="007A09A5" w:rsidRDefault="004C4B64" w:rsidP="004C4B64">
      <w:pPr>
        <w:tabs>
          <w:tab w:val="left" w:pos="469"/>
        </w:tabs>
        <w:jc w:val="both"/>
        <w:rPr>
          <w:rFonts w:cs="Arial"/>
          <w:vanish/>
          <w:sz w:val="2"/>
          <w:szCs w:val="22"/>
        </w:rPr>
      </w:pPr>
    </w:p>
    <w:p w:rsidR="004C4B64" w:rsidRPr="00DF5193" w:rsidRDefault="004C4B64" w:rsidP="004C4B64">
      <w:pPr>
        <w:rPr>
          <w:sz w:val="2"/>
          <w:szCs w:val="2"/>
        </w:rPr>
      </w:pPr>
    </w:p>
    <w:tbl>
      <w:tblPr>
        <w:tblW w:w="10031" w:type="dxa"/>
        <w:tblLook w:val="01E0" w:firstRow="1" w:lastRow="1" w:firstColumn="1" w:lastColumn="1" w:noHBand="0" w:noVBand="0"/>
      </w:tblPr>
      <w:tblGrid>
        <w:gridCol w:w="495"/>
        <w:gridCol w:w="9536"/>
      </w:tblGrid>
      <w:tr w:rsidR="004C4B64" w:rsidRPr="006A560C" w:rsidTr="0039097E">
        <w:tc>
          <w:tcPr>
            <w:tcW w:w="469" w:type="dxa"/>
          </w:tcPr>
          <w:p w:rsidR="004C4B64" w:rsidRPr="006A560C" w:rsidRDefault="004C4B64" w:rsidP="0039097E">
            <w:pPr>
              <w:rPr>
                <w:rFonts w:cs="Arial"/>
                <w:szCs w:val="22"/>
              </w:rPr>
            </w:pPr>
            <w:r>
              <w:rPr>
                <w:rFonts w:cs="Arial"/>
                <w:szCs w:val="22"/>
              </w:rPr>
              <w:t>24</w:t>
            </w:r>
            <w:r w:rsidRPr="006A560C">
              <w:rPr>
                <w:rFonts w:cs="Arial"/>
                <w:szCs w:val="22"/>
              </w:rPr>
              <w:t>.</w:t>
            </w:r>
          </w:p>
        </w:tc>
        <w:tc>
          <w:tcPr>
            <w:tcW w:w="9562" w:type="dxa"/>
          </w:tcPr>
          <w:p w:rsidR="004C4B64" w:rsidRDefault="004C4B64" w:rsidP="0039097E">
            <w:pPr>
              <w:spacing w:after="120"/>
              <w:jc w:val="both"/>
              <w:rPr>
                <w:rFonts w:cs="Calibri"/>
              </w:rPr>
            </w:pPr>
            <w:r w:rsidRPr="00F24A23">
              <w:rPr>
                <w:rFonts w:cs="Calibri"/>
              </w:rPr>
              <w:t xml:space="preserve">Effective dust control measures </w:t>
            </w:r>
            <w:r>
              <w:rPr>
                <w:rFonts w:cs="Calibri"/>
              </w:rPr>
              <w:t xml:space="preserve">are </w:t>
            </w:r>
            <w:r w:rsidRPr="00F24A23">
              <w:rPr>
                <w:rFonts w:cs="Calibri"/>
              </w:rPr>
              <w:t>to be maintained during</w:t>
            </w:r>
            <w:r>
              <w:rPr>
                <w:rFonts w:cs="Calibri"/>
              </w:rPr>
              <w:t xml:space="preserve"> the</w:t>
            </w:r>
            <w:r w:rsidRPr="00F24A23">
              <w:rPr>
                <w:rFonts w:cs="Calibri"/>
              </w:rPr>
              <w:t xml:space="preserve"> construction</w:t>
            </w:r>
            <w:r>
              <w:rPr>
                <w:rFonts w:cs="Calibri"/>
              </w:rPr>
              <w:t xml:space="preserve"> phase of the development</w:t>
            </w:r>
            <w:r w:rsidRPr="00F24A23">
              <w:rPr>
                <w:rFonts w:cs="Calibri"/>
              </w:rPr>
              <w:t xml:space="preserve"> to maintain public safety/amenity </w:t>
            </w:r>
            <w:r>
              <w:rPr>
                <w:rFonts w:cs="Calibri"/>
              </w:rPr>
              <w:t>and prevent nuisance dust emissions from associated with construction traffic</w:t>
            </w:r>
            <w:r w:rsidRPr="00F24A23">
              <w:rPr>
                <w:rFonts w:cs="Calibri"/>
              </w:rPr>
              <w:t>.</w:t>
            </w:r>
          </w:p>
          <w:p w:rsidR="004C4B64" w:rsidRPr="00F24A23" w:rsidRDefault="004C4B64" w:rsidP="0039097E">
            <w:pPr>
              <w:jc w:val="both"/>
              <w:rPr>
                <w:rFonts w:cs="Calibri"/>
              </w:rPr>
            </w:pPr>
            <w:r w:rsidRPr="00F24A23">
              <w:rPr>
                <w:rFonts w:cs="Calibri"/>
                <w:i/>
              </w:rPr>
              <w:t>ADVISING: Failure to take effective action may render the developer liable to prosecution under the NSW Protection of the Environment Operations Act.</w:t>
            </w:r>
          </w:p>
          <w:p w:rsidR="004C4B64" w:rsidRPr="006A560C" w:rsidRDefault="004C4B64" w:rsidP="0039097E">
            <w:pPr>
              <w:jc w:val="both"/>
              <w:rPr>
                <w:rFonts w:cs="Arial"/>
                <w:vanish/>
                <w:szCs w:val="22"/>
              </w:rPr>
            </w:pPr>
          </w:p>
        </w:tc>
      </w:tr>
    </w:tbl>
    <w:p w:rsidR="004C4B64" w:rsidRPr="007A09A5" w:rsidRDefault="004C4B64" w:rsidP="004C4B64">
      <w:pPr>
        <w:tabs>
          <w:tab w:val="left" w:pos="469"/>
        </w:tabs>
        <w:jc w:val="both"/>
        <w:rPr>
          <w:rFonts w:cs="Arial"/>
          <w:vanish/>
          <w:sz w:val="2"/>
          <w:szCs w:val="22"/>
        </w:rPr>
      </w:pPr>
    </w:p>
    <w:p w:rsidR="004C4B64" w:rsidRPr="00DF5193" w:rsidRDefault="004C4B64" w:rsidP="004C4B64">
      <w:pPr>
        <w:rPr>
          <w:sz w:val="2"/>
          <w:szCs w:val="2"/>
        </w:rPr>
      </w:pPr>
    </w:p>
    <w:tbl>
      <w:tblPr>
        <w:tblW w:w="10031" w:type="dxa"/>
        <w:tblLook w:val="01E0" w:firstRow="1" w:lastRow="1" w:firstColumn="1" w:lastColumn="1" w:noHBand="0" w:noVBand="0"/>
      </w:tblPr>
      <w:tblGrid>
        <w:gridCol w:w="495"/>
        <w:gridCol w:w="9536"/>
      </w:tblGrid>
      <w:tr w:rsidR="004C4B64" w:rsidRPr="006A560C" w:rsidTr="0039097E">
        <w:tc>
          <w:tcPr>
            <w:tcW w:w="469" w:type="dxa"/>
          </w:tcPr>
          <w:p w:rsidR="004C4B64" w:rsidRPr="006A560C" w:rsidRDefault="004C4B64" w:rsidP="0039097E">
            <w:pPr>
              <w:rPr>
                <w:rFonts w:cs="Arial"/>
                <w:szCs w:val="22"/>
              </w:rPr>
            </w:pPr>
            <w:r>
              <w:rPr>
                <w:rFonts w:cs="Arial"/>
                <w:szCs w:val="22"/>
              </w:rPr>
              <w:t>25</w:t>
            </w:r>
            <w:r w:rsidRPr="006A560C">
              <w:rPr>
                <w:rFonts w:cs="Arial"/>
                <w:szCs w:val="22"/>
              </w:rPr>
              <w:t>.</w:t>
            </w:r>
          </w:p>
        </w:tc>
        <w:tc>
          <w:tcPr>
            <w:tcW w:w="9562" w:type="dxa"/>
          </w:tcPr>
          <w:p w:rsidR="004C4B64" w:rsidRDefault="004C4B64" w:rsidP="0039097E">
            <w:pPr>
              <w:spacing w:after="120"/>
              <w:jc w:val="both"/>
            </w:pPr>
            <w:r>
              <w:t>Approval is to be obtained from Council as the roads authority pursuant to s138 of the Roads Act 1993 for all construction work required on Council road reserves, specifically installation of property vehicular accesses (driveway cross-over).</w:t>
            </w:r>
            <w:r w:rsidRPr="00F16040">
              <w:t xml:space="preserve"> </w:t>
            </w:r>
          </w:p>
          <w:p w:rsidR="004C4B64" w:rsidRDefault="004C4B64" w:rsidP="0039097E">
            <w:pPr>
              <w:spacing w:after="120"/>
              <w:jc w:val="both"/>
            </w:pPr>
            <w:r>
              <w:t xml:space="preserve">The approval is to be obtained through </w:t>
            </w:r>
            <w:proofErr w:type="gramStart"/>
            <w:r>
              <w:t>a</w:t>
            </w:r>
            <w:proofErr w:type="gramEnd"/>
            <w:r>
              <w:t xml:space="preserve"> s138 application prior to any such works being undertaken within the road reserve, confirming that the works will meet Council’s Driveway Handbook and standard drawings, which can be found on Councils website (</w:t>
            </w:r>
            <w:hyperlink r:id="rId14" w:history="1">
              <w:r>
                <w:rPr>
                  <w:rStyle w:val="Hyperlink"/>
                </w:rPr>
                <w:t>www.armidaleregional.nsw.gov.au</w:t>
              </w:r>
            </w:hyperlink>
            <w:r>
              <w:t xml:space="preserve">). </w:t>
            </w:r>
          </w:p>
          <w:p w:rsidR="004C4B64" w:rsidRPr="00B41E95" w:rsidRDefault="004C4B64" w:rsidP="0039097E">
            <w:pPr>
              <w:jc w:val="both"/>
              <w:rPr>
                <w:rFonts w:cs="Calibri"/>
                <w:i/>
              </w:rPr>
            </w:pPr>
            <w:r>
              <w:rPr>
                <w:i/>
                <w:iCs/>
                <w:u w:val="single"/>
              </w:rPr>
              <w:t>Advising</w:t>
            </w:r>
            <w:r>
              <w:rPr>
                <w:i/>
                <w:iCs/>
              </w:rPr>
              <w:t>: the activity is to be protected by public liability insurance with a minimum cover of $20 million.</w:t>
            </w:r>
          </w:p>
          <w:p w:rsidR="004C4B64" w:rsidRPr="006A560C" w:rsidRDefault="004C4B64" w:rsidP="0039097E">
            <w:pPr>
              <w:jc w:val="both"/>
              <w:rPr>
                <w:rFonts w:cs="Arial"/>
                <w:vanish/>
                <w:szCs w:val="22"/>
              </w:rPr>
            </w:pPr>
          </w:p>
        </w:tc>
      </w:tr>
    </w:tbl>
    <w:p w:rsidR="004C4B64" w:rsidRPr="007A09A5" w:rsidRDefault="004C4B64" w:rsidP="004C4B64">
      <w:pPr>
        <w:tabs>
          <w:tab w:val="left" w:pos="469"/>
        </w:tabs>
        <w:jc w:val="both"/>
        <w:rPr>
          <w:rFonts w:cs="Arial"/>
          <w:vanish/>
          <w:sz w:val="2"/>
          <w:szCs w:val="22"/>
        </w:rPr>
      </w:pPr>
    </w:p>
    <w:p w:rsidR="004C4B64" w:rsidRPr="00DF5193" w:rsidRDefault="004C4B64" w:rsidP="004C4B64">
      <w:pPr>
        <w:rPr>
          <w:sz w:val="2"/>
          <w:szCs w:val="2"/>
        </w:rPr>
      </w:pPr>
    </w:p>
    <w:tbl>
      <w:tblPr>
        <w:tblW w:w="10031" w:type="dxa"/>
        <w:tblLook w:val="01E0" w:firstRow="1" w:lastRow="1" w:firstColumn="1" w:lastColumn="1" w:noHBand="0" w:noVBand="0"/>
      </w:tblPr>
      <w:tblGrid>
        <w:gridCol w:w="495"/>
        <w:gridCol w:w="9536"/>
      </w:tblGrid>
      <w:tr w:rsidR="004C4B64" w:rsidRPr="006A560C" w:rsidTr="0039097E">
        <w:tc>
          <w:tcPr>
            <w:tcW w:w="495" w:type="dxa"/>
          </w:tcPr>
          <w:p w:rsidR="004C4B64" w:rsidRPr="006A560C" w:rsidRDefault="004C4B64" w:rsidP="0039097E">
            <w:pPr>
              <w:rPr>
                <w:rFonts w:cs="Arial"/>
                <w:szCs w:val="22"/>
              </w:rPr>
            </w:pPr>
            <w:r>
              <w:rPr>
                <w:rFonts w:cs="Arial"/>
                <w:szCs w:val="22"/>
              </w:rPr>
              <w:t>26</w:t>
            </w:r>
            <w:r w:rsidRPr="006A560C">
              <w:rPr>
                <w:rFonts w:cs="Arial"/>
                <w:szCs w:val="22"/>
              </w:rPr>
              <w:t>.</w:t>
            </w:r>
          </w:p>
        </w:tc>
        <w:tc>
          <w:tcPr>
            <w:tcW w:w="9536" w:type="dxa"/>
          </w:tcPr>
          <w:p w:rsidR="004C4B64" w:rsidRDefault="004C4B64" w:rsidP="0039097E">
            <w:pPr>
              <w:jc w:val="both"/>
              <w:rPr>
                <w:rFonts w:cs="Calibri"/>
              </w:rPr>
            </w:pPr>
            <w:r w:rsidRPr="00F61FB5">
              <w:rPr>
                <w:rFonts w:cs="Calibri"/>
              </w:rPr>
              <w:t>No storage of building materials, soil or equipment is to occur on Council's property or roads without the written consent of Council’s Civic and Recreational Services Manager or nominee. No unfenced, potentially dangerous activity or material to be located in close proximity to the street boundary or pedestrian walkway adjoining the site. No unsupervised transit of plant, equipment or vehicles across public areas or other obstruction of those areas is permitted.</w:t>
            </w:r>
          </w:p>
          <w:p w:rsidR="004C4B64" w:rsidRPr="006A560C" w:rsidRDefault="004C4B64" w:rsidP="0039097E">
            <w:pPr>
              <w:jc w:val="both"/>
              <w:rPr>
                <w:rFonts w:cs="Arial"/>
                <w:vanish/>
                <w:szCs w:val="22"/>
              </w:rPr>
            </w:pPr>
          </w:p>
        </w:tc>
      </w:tr>
    </w:tbl>
    <w:p w:rsidR="004C4B64" w:rsidRDefault="00DB677D" w:rsidP="004C4B64">
      <w:r>
        <w:br w:type="page"/>
      </w:r>
    </w:p>
    <w:tbl>
      <w:tblPr>
        <w:tblW w:w="10031" w:type="dxa"/>
        <w:tblLook w:val="01E0" w:firstRow="1" w:lastRow="1" w:firstColumn="1" w:lastColumn="1" w:noHBand="0" w:noVBand="0"/>
      </w:tblPr>
      <w:tblGrid>
        <w:gridCol w:w="495"/>
        <w:gridCol w:w="9536"/>
      </w:tblGrid>
      <w:tr w:rsidR="004C4B64" w:rsidTr="0039097E">
        <w:tc>
          <w:tcPr>
            <w:tcW w:w="495" w:type="dxa"/>
          </w:tcPr>
          <w:p w:rsidR="004C4B64" w:rsidRDefault="004C4B64" w:rsidP="0039097E">
            <w:pPr>
              <w:rPr>
                <w:rFonts w:cs="Arial"/>
                <w:szCs w:val="22"/>
              </w:rPr>
            </w:pPr>
            <w:r>
              <w:rPr>
                <w:rFonts w:cs="Arial"/>
                <w:szCs w:val="22"/>
              </w:rPr>
              <w:lastRenderedPageBreak/>
              <w:t>27.</w:t>
            </w:r>
          </w:p>
        </w:tc>
        <w:tc>
          <w:tcPr>
            <w:tcW w:w="9536" w:type="dxa"/>
          </w:tcPr>
          <w:p w:rsidR="004C4B64" w:rsidRDefault="004C4B64" w:rsidP="0039097E">
            <w:pPr>
              <w:spacing w:after="120"/>
              <w:jc w:val="both"/>
              <w:rPr>
                <w:rFonts w:cs="Calibri"/>
              </w:rPr>
            </w:pPr>
            <w:r>
              <w:rPr>
                <w:rFonts w:cs="Calibri"/>
              </w:rPr>
              <w:t xml:space="preserve">Any fill which is placed on the site shall be free of any contaminants and placed in accordance with the requirements of AS 3798 (current edition) </w:t>
            </w:r>
            <w:r w:rsidRPr="00257517">
              <w:rPr>
                <w:rFonts w:cs="Calibri"/>
              </w:rPr>
              <w:t>Guidelines on Earthworks for Commercial and Residential Developments</w:t>
            </w:r>
            <w:r>
              <w:rPr>
                <w:rFonts w:cs="Calibri"/>
              </w:rPr>
              <w:t>. A suitably qualified consultant shall:</w:t>
            </w:r>
          </w:p>
          <w:p w:rsidR="004C4B64" w:rsidRDefault="004C4B64" w:rsidP="004C4B64">
            <w:pPr>
              <w:numPr>
                <w:ilvl w:val="0"/>
                <w:numId w:val="5"/>
              </w:numPr>
              <w:spacing w:after="120" w:line="276" w:lineRule="auto"/>
              <w:ind w:hanging="425"/>
              <w:jc w:val="both"/>
              <w:rPr>
                <w:rFonts w:cs="Calibri"/>
              </w:rPr>
            </w:pPr>
            <w:r>
              <w:rPr>
                <w:rFonts w:cs="Calibri"/>
              </w:rPr>
              <w:t>identify the source of the fill and certify that it is free from contamination; and</w:t>
            </w:r>
          </w:p>
          <w:p w:rsidR="004C4B64" w:rsidRDefault="004C4B64" w:rsidP="004C4B64">
            <w:pPr>
              <w:numPr>
                <w:ilvl w:val="0"/>
                <w:numId w:val="5"/>
              </w:numPr>
              <w:spacing w:line="276" w:lineRule="auto"/>
              <w:ind w:hanging="425"/>
              <w:jc w:val="both"/>
              <w:rPr>
                <w:rFonts w:cs="Calibri"/>
              </w:rPr>
            </w:pPr>
            <w:proofErr w:type="gramStart"/>
            <w:r>
              <w:rPr>
                <w:rFonts w:cs="Calibri"/>
              </w:rPr>
              <w:t>classify</w:t>
            </w:r>
            <w:proofErr w:type="gramEnd"/>
            <w:r>
              <w:rPr>
                <w:rFonts w:cs="Calibri"/>
              </w:rPr>
              <w:t xml:space="preserve"> the area within any building envelope on any such filled lot in accordance with the requirements of "Residential Slabs and Footings" AS 2870.1 (current edition).</w:t>
            </w:r>
          </w:p>
          <w:p w:rsidR="004C4B64" w:rsidRDefault="004C4B64" w:rsidP="0039097E">
            <w:pPr>
              <w:spacing w:line="276" w:lineRule="auto"/>
              <w:jc w:val="both"/>
              <w:rPr>
                <w:rFonts w:cs="Calibri"/>
              </w:rPr>
            </w:pPr>
          </w:p>
        </w:tc>
      </w:tr>
      <w:tr w:rsidR="004C4B64" w:rsidRPr="00257517" w:rsidTr="0039097E">
        <w:tc>
          <w:tcPr>
            <w:tcW w:w="495" w:type="dxa"/>
          </w:tcPr>
          <w:p w:rsidR="004C4B64" w:rsidRDefault="004C4B64" w:rsidP="0039097E">
            <w:pPr>
              <w:rPr>
                <w:rFonts w:cs="Arial"/>
                <w:szCs w:val="22"/>
              </w:rPr>
            </w:pPr>
            <w:r>
              <w:rPr>
                <w:rFonts w:cs="Arial"/>
                <w:szCs w:val="22"/>
              </w:rPr>
              <w:t>28.</w:t>
            </w:r>
          </w:p>
        </w:tc>
        <w:tc>
          <w:tcPr>
            <w:tcW w:w="9536" w:type="dxa"/>
          </w:tcPr>
          <w:p w:rsidR="004C4B64" w:rsidRPr="00257517" w:rsidRDefault="004C4B64" w:rsidP="0039097E">
            <w:pPr>
              <w:spacing w:after="120"/>
              <w:jc w:val="both"/>
              <w:rPr>
                <w:rFonts w:cs="Calibri"/>
              </w:rPr>
            </w:pPr>
            <w:r w:rsidRPr="00257517">
              <w:rPr>
                <w:rFonts w:cs="Calibri"/>
              </w:rPr>
              <w:t xml:space="preserve">The hours of </w:t>
            </w:r>
            <w:r>
              <w:rPr>
                <w:rFonts w:cs="Calibri"/>
              </w:rPr>
              <w:t>all construction</w:t>
            </w:r>
            <w:r w:rsidRPr="00257517">
              <w:rPr>
                <w:rFonts w:cs="Calibri"/>
              </w:rPr>
              <w:t xml:space="preserve"> work </w:t>
            </w:r>
            <w:r>
              <w:rPr>
                <w:rFonts w:cs="Calibri"/>
              </w:rPr>
              <w:t>for</w:t>
            </w:r>
            <w:r w:rsidRPr="00257517">
              <w:rPr>
                <w:rFonts w:cs="Calibri"/>
              </w:rPr>
              <w:t xml:space="preserve"> the development are to be restricted to between 7.00am and 6.00pm on Monday to </w:t>
            </w:r>
            <w:r>
              <w:rPr>
                <w:rFonts w:cs="Calibri"/>
              </w:rPr>
              <w:t xml:space="preserve">Friday </w:t>
            </w:r>
            <w:r w:rsidRPr="00257517">
              <w:rPr>
                <w:rFonts w:cs="Calibri"/>
              </w:rPr>
              <w:t xml:space="preserve">and </w:t>
            </w:r>
            <w:r>
              <w:rPr>
                <w:rFonts w:cs="Calibri"/>
              </w:rPr>
              <w:t>8.00am to 1pm on Saturday, to maintain the amenity of the locality. O</w:t>
            </w:r>
            <w:r w:rsidRPr="00257517">
              <w:rPr>
                <w:rFonts w:cs="Calibri"/>
              </w:rPr>
              <w:t xml:space="preserve">nly non audible works are permitted </w:t>
            </w:r>
            <w:r>
              <w:rPr>
                <w:rFonts w:cs="Calibri"/>
              </w:rPr>
              <w:t>to be undertaken outside these hours</w:t>
            </w:r>
            <w:r w:rsidRPr="00257517">
              <w:rPr>
                <w:rFonts w:cs="Calibri"/>
              </w:rPr>
              <w:t xml:space="preserve">. </w:t>
            </w:r>
          </w:p>
          <w:p w:rsidR="004C4B64" w:rsidRDefault="004C4B64" w:rsidP="0039097E">
            <w:pPr>
              <w:spacing w:after="120"/>
              <w:jc w:val="both"/>
              <w:rPr>
                <w:rFonts w:cs="Calibri"/>
              </w:rPr>
            </w:pPr>
            <w:r>
              <w:rPr>
                <w:rFonts w:cs="Calibri"/>
              </w:rPr>
              <w:t>Any proposed building work to be undertaken outside these hours or on Public Holidays must be the subject of prior written agreement from Council - consideration may be given to special circumstances and non-audible work if applicable.</w:t>
            </w:r>
          </w:p>
          <w:p w:rsidR="004C4B64" w:rsidRPr="009640F7" w:rsidRDefault="004C4B64" w:rsidP="0039097E">
            <w:pPr>
              <w:jc w:val="both"/>
              <w:rPr>
                <w:rFonts w:cs="Calibri"/>
                <w:i/>
              </w:rPr>
            </w:pPr>
            <w:r w:rsidRPr="009640F7">
              <w:rPr>
                <w:rFonts w:cs="Calibri"/>
                <w:i/>
              </w:rPr>
              <w:t>ADVISING:  Breaches of this condition may result in the issuing of a Penalty Infringement Notice or prosecution.</w:t>
            </w:r>
          </w:p>
          <w:p w:rsidR="004C4B64" w:rsidRPr="00257517" w:rsidRDefault="004C4B64" w:rsidP="0039097E">
            <w:pPr>
              <w:jc w:val="both"/>
              <w:rPr>
                <w:rFonts w:cs="Calibri"/>
              </w:rPr>
            </w:pPr>
          </w:p>
        </w:tc>
      </w:tr>
      <w:tr w:rsidR="004C4B64" w:rsidTr="0039097E">
        <w:tc>
          <w:tcPr>
            <w:tcW w:w="495" w:type="dxa"/>
            <w:hideMark/>
          </w:tcPr>
          <w:p w:rsidR="004C4B64" w:rsidRDefault="004C4B64" w:rsidP="0039097E">
            <w:pPr>
              <w:rPr>
                <w:rFonts w:cs="Arial"/>
                <w:szCs w:val="22"/>
              </w:rPr>
            </w:pPr>
            <w:r>
              <w:rPr>
                <w:rFonts w:cs="Arial"/>
                <w:szCs w:val="22"/>
              </w:rPr>
              <w:t>29.</w:t>
            </w:r>
          </w:p>
        </w:tc>
        <w:tc>
          <w:tcPr>
            <w:tcW w:w="9536" w:type="dxa"/>
          </w:tcPr>
          <w:p w:rsidR="004C4B64" w:rsidRDefault="004C4B64" w:rsidP="0039097E">
            <w:pPr>
              <w:jc w:val="both"/>
              <w:rPr>
                <w:rFonts w:cs="Calibri"/>
              </w:rPr>
            </w:pPr>
            <w:r>
              <w:rPr>
                <w:rFonts w:cs="Calibri"/>
              </w:rPr>
              <w:t>Toilet facilities are to be provided at, or in the vicinity of the work site, at the rate of one toilet for every 20 persons or part of 20 persons employed at the site. Each toilet provided must be connected to an accredited sewage management facility approved by the council or some other sewage management facility approved by the council.</w:t>
            </w:r>
          </w:p>
          <w:p w:rsidR="004C4B64" w:rsidRDefault="004C4B64" w:rsidP="0039097E">
            <w:pPr>
              <w:jc w:val="both"/>
              <w:rPr>
                <w:rFonts w:cs="Calibri"/>
                <w:highlight w:val="green"/>
              </w:rPr>
            </w:pPr>
          </w:p>
        </w:tc>
      </w:tr>
      <w:tr w:rsidR="004C4B64" w:rsidTr="0039097E">
        <w:tc>
          <w:tcPr>
            <w:tcW w:w="495" w:type="dxa"/>
            <w:hideMark/>
          </w:tcPr>
          <w:p w:rsidR="004C4B64" w:rsidRDefault="004C4B64" w:rsidP="0039097E">
            <w:pPr>
              <w:rPr>
                <w:rFonts w:cs="Arial"/>
                <w:szCs w:val="22"/>
              </w:rPr>
            </w:pPr>
            <w:r>
              <w:rPr>
                <w:rFonts w:cs="Arial"/>
                <w:szCs w:val="22"/>
              </w:rPr>
              <w:t>30.</w:t>
            </w:r>
          </w:p>
        </w:tc>
        <w:tc>
          <w:tcPr>
            <w:tcW w:w="9536" w:type="dxa"/>
          </w:tcPr>
          <w:p w:rsidR="004C4B64" w:rsidRDefault="004C4B64" w:rsidP="0039097E">
            <w:pPr>
              <w:jc w:val="both"/>
              <w:rPr>
                <w:rFonts w:cs="Calibri"/>
              </w:rPr>
            </w:pPr>
            <w:r>
              <w:rPr>
                <w:rFonts w:cs="Calibri"/>
              </w:rPr>
              <w:t xml:space="preserve">The development must be carried out in accordance with Managing Urban Stormwater: Soils &amp; Construction (4th edition, </w:t>
            </w:r>
            <w:proofErr w:type="spellStart"/>
            <w:r>
              <w:rPr>
                <w:rFonts w:cs="Calibri"/>
              </w:rPr>
              <w:t>Landcom</w:t>
            </w:r>
            <w:proofErr w:type="spellEnd"/>
            <w:r>
              <w:rPr>
                <w:rFonts w:cs="Calibri"/>
              </w:rPr>
              <w:t>, 2004), commonly referred to as the “Blue Book” and as in force at the date of this consent; to maintain public and environmental safety and amenity, and prevent erosion and sedimentation.</w:t>
            </w:r>
          </w:p>
          <w:p w:rsidR="004C4B64" w:rsidRDefault="004C4B64" w:rsidP="0039097E">
            <w:pPr>
              <w:jc w:val="both"/>
              <w:rPr>
                <w:rFonts w:cs="Calibri"/>
              </w:rPr>
            </w:pPr>
          </w:p>
          <w:p w:rsidR="004C4B64" w:rsidRDefault="004C4B64" w:rsidP="0039097E">
            <w:pPr>
              <w:jc w:val="both"/>
              <w:rPr>
                <w:rFonts w:cs="Calibri"/>
                <w:i/>
              </w:rPr>
            </w:pPr>
            <w:r>
              <w:rPr>
                <w:rFonts w:cs="Calibri"/>
                <w:i/>
              </w:rPr>
              <w:t>ADVISING: Failure to take effective action may render the developer liable to prosecution under the NSW Protection of the Environment Operations Act.</w:t>
            </w:r>
          </w:p>
          <w:p w:rsidR="004C4B64" w:rsidRDefault="004C4B64" w:rsidP="0039097E">
            <w:pPr>
              <w:jc w:val="both"/>
              <w:rPr>
                <w:rFonts w:cs="Calibri"/>
              </w:rPr>
            </w:pPr>
          </w:p>
        </w:tc>
      </w:tr>
      <w:tr w:rsidR="004C4B64" w:rsidTr="0039097E">
        <w:tc>
          <w:tcPr>
            <w:tcW w:w="495" w:type="dxa"/>
          </w:tcPr>
          <w:p w:rsidR="004C4B64" w:rsidRDefault="004C4B64" w:rsidP="0039097E">
            <w:pPr>
              <w:rPr>
                <w:rFonts w:cs="Arial"/>
                <w:szCs w:val="22"/>
              </w:rPr>
            </w:pPr>
            <w:r>
              <w:rPr>
                <w:rFonts w:cs="Arial"/>
                <w:szCs w:val="22"/>
              </w:rPr>
              <w:t>31.</w:t>
            </w:r>
          </w:p>
        </w:tc>
        <w:tc>
          <w:tcPr>
            <w:tcW w:w="9536" w:type="dxa"/>
          </w:tcPr>
          <w:p w:rsidR="004C4B64" w:rsidRDefault="004C4B64" w:rsidP="0039097E">
            <w:pPr>
              <w:spacing w:after="120"/>
              <w:jc w:val="both"/>
              <w:rPr>
                <w:rFonts w:cs="Calibri"/>
              </w:rPr>
            </w:pPr>
            <w:r>
              <w:rPr>
                <w:rFonts w:cs="Calibri"/>
              </w:rPr>
              <w:t>A further glare assessment is to be undertaken once the panel layout is confirmed, to ensure that the location, siting and angle of the panels on site, does not result in any unacceptable glare for sensitive receptors/adjoining properties.</w:t>
            </w:r>
          </w:p>
        </w:tc>
      </w:tr>
    </w:tbl>
    <w:p w:rsidR="004C4B64" w:rsidRDefault="004C4B64" w:rsidP="004C4B64">
      <w:pPr>
        <w:spacing w:before="120" w:after="120"/>
        <w:jc w:val="both"/>
        <w:rPr>
          <w:b/>
          <w:lang w:val="en-US"/>
        </w:rPr>
      </w:pPr>
      <w:r>
        <w:rPr>
          <w:b/>
          <w:lang w:val="en-US"/>
        </w:rPr>
        <w:t>BEFORE COMMENCEMENT OF OPERATION</w:t>
      </w:r>
    </w:p>
    <w:tbl>
      <w:tblPr>
        <w:tblW w:w="10031" w:type="dxa"/>
        <w:tblLook w:val="01E0" w:firstRow="1" w:lastRow="1" w:firstColumn="1" w:lastColumn="1" w:noHBand="0" w:noVBand="0"/>
      </w:tblPr>
      <w:tblGrid>
        <w:gridCol w:w="495"/>
        <w:gridCol w:w="9536"/>
      </w:tblGrid>
      <w:tr w:rsidR="004C4B64" w:rsidTr="0039097E">
        <w:tc>
          <w:tcPr>
            <w:tcW w:w="495" w:type="dxa"/>
            <w:hideMark/>
          </w:tcPr>
          <w:p w:rsidR="004C4B64" w:rsidRDefault="004C4B64" w:rsidP="0039097E">
            <w:r>
              <w:t>32.</w:t>
            </w:r>
          </w:p>
        </w:tc>
        <w:tc>
          <w:tcPr>
            <w:tcW w:w="9536" w:type="dxa"/>
          </w:tcPr>
          <w:p w:rsidR="004C4B64" w:rsidRDefault="004C4B64" w:rsidP="0039097E">
            <w:pPr>
              <w:jc w:val="both"/>
              <w:rPr>
                <w:rFonts w:cs="Calibri"/>
              </w:rPr>
            </w:pPr>
            <w:r>
              <w:rPr>
                <w:rFonts w:cs="Calibri"/>
              </w:rPr>
              <w:t xml:space="preserve">Prior to the commencement of the operation of the solar farm, the planting associated with the landscape screen (as approved under Condition 15 of this consent) must be planted in accordance with the approved plan, unless otherwise varied and agreed to by Council where drought conditions may inhibit this from occurring. </w:t>
            </w:r>
          </w:p>
          <w:p w:rsidR="004C4B64" w:rsidRDefault="004C4B64" w:rsidP="0039097E">
            <w:pPr>
              <w:jc w:val="both"/>
              <w:rPr>
                <w:rFonts w:cs="Calibri"/>
              </w:rPr>
            </w:pPr>
          </w:p>
        </w:tc>
      </w:tr>
      <w:tr w:rsidR="004C4B64" w:rsidTr="0039097E">
        <w:tc>
          <w:tcPr>
            <w:tcW w:w="495" w:type="dxa"/>
            <w:hideMark/>
          </w:tcPr>
          <w:p w:rsidR="004C4B64" w:rsidRDefault="004C4B64" w:rsidP="0039097E">
            <w:r>
              <w:t>33.</w:t>
            </w:r>
          </w:p>
        </w:tc>
        <w:tc>
          <w:tcPr>
            <w:tcW w:w="9536" w:type="dxa"/>
          </w:tcPr>
          <w:p w:rsidR="004C4B64" w:rsidRDefault="004C4B64" w:rsidP="0039097E">
            <w:pPr>
              <w:jc w:val="both"/>
              <w:rPr>
                <w:rFonts w:cs="Calibri"/>
              </w:rPr>
            </w:pPr>
            <w:r>
              <w:rPr>
                <w:rFonts w:cs="Calibri"/>
              </w:rPr>
              <w:t>Following construction, the applicant must:</w:t>
            </w:r>
          </w:p>
          <w:p w:rsidR="004C4B64" w:rsidRDefault="004C4B64" w:rsidP="004C4B64">
            <w:pPr>
              <w:numPr>
                <w:ilvl w:val="0"/>
                <w:numId w:val="6"/>
              </w:numPr>
              <w:autoSpaceDE w:val="0"/>
              <w:autoSpaceDN w:val="0"/>
              <w:adjustRightInd w:val="0"/>
              <w:spacing w:after="120" w:line="276" w:lineRule="auto"/>
              <w:ind w:left="714" w:hanging="357"/>
              <w:jc w:val="both"/>
              <w:rPr>
                <w:rFonts w:cs="Calibri"/>
              </w:rPr>
            </w:pPr>
            <w:r>
              <w:rPr>
                <w:rFonts w:cs="Calibri"/>
              </w:rPr>
              <w:t>Restore the ground cover of the site as soon as practicable, using suitable species; and</w:t>
            </w:r>
          </w:p>
          <w:p w:rsidR="004C4B64" w:rsidRDefault="004C4B64" w:rsidP="004C4B64">
            <w:pPr>
              <w:numPr>
                <w:ilvl w:val="0"/>
                <w:numId w:val="6"/>
              </w:numPr>
              <w:autoSpaceDE w:val="0"/>
              <w:autoSpaceDN w:val="0"/>
              <w:adjustRightInd w:val="0"/>
              <w:spacing w:after="200" w:line="276" w:lineRule="auto"/>
              <w:jc w:val="both"/>
              <w:rPr>
                <w:rFonts w:cs="Calibri"/>
              </w:rPr>
            </w:pPr>
            <w:r>
              <w:rPr>
                <w:rFonts w:cs="Calibri"/>
              </w:rPr>
              <w:t>Maintain ground cover.</w:t>
            </w:r>
          </w:p>
        </w:tc>
      </w:tr>
      <w:tr w:rsidR="004C4B64" w:rsidRPr="00257517" w:rsidTr="0039097E">
        <w:tc>
          <w:tcPr>
            <w:tcW w:w="495" w:type="dxa"/>
            <w:hideMark/>
          </w:tcPr>
          <w:p w:rsidR="004C4B64" w:rsidRDefault="004C4B64" w:rsidP="0039097E">
            <w:r>
              <w:t>34.</w:t>
            </w:r>
          </w:p>
        </w:tc>
        <w:tc>
          <w:tcPr>
            <w:tcW w:w="9536" w:type="dxa"/>
          </w:tcPr>
          <w:p w:rsidR="004C4B64" w:rsidRDefault="004C4B64" w:rsidP="0039097E">
            <w:pPr>
              <w:jc w:val="both"/>
              <w:rPr>
                <w:rFonts w:cs="Calibri"/>
              </w:rPr>
            </w:pPr>
            <w:r w:rsidRPr="00257517">
              <w:rPr>
                <w:rFonts w:cs="Calibri"/>
              </w:rPr>
              <w:t>All security fencing is to incorporate scratch barriers to ensure that fencing containing barbed wire is clamber proof</w:t>
            </w:r>
            <w:r>
              <w:rPr>
                <w:rFonts w:cs="Calibri"/>
              </w:rPr>
              <w:t xml:space="preserve"> to </w:t>
            </w:r>
            <w:r w:rsidRPr="00257517">
              <w:rPr>
                <w:rFonts w:cs="Calibri"/>
              </w:rPr>
              <w:t>prevent the potential</w:t>
            </w:r>
            <w:r>
              <w:rPr>
                <w:rFonts w:cs="Calibri"/>
              </w:rPr>
              <w:t xml:space="preserve"> for </w:t>
            </w:r>
            <w:r w:rsidRPr="00257517">
              <w:rPr>
                <w:rFonts w:cs="Calibri"/>
              </w:rPr>
              <w:t xml:space="preserve">entanglement of </w:t>
            </w:r>
            <w:r>
              <w:rPr>
                <w:rFonts w:cs="Calibri"/>
              </w:rPr>
              <w:t>fauna.</w:t>
            </w:r>
          </w:p>
          <w:p w:rsidR="004C4B64" w:rsidRPr="00257517" w:rsidRDefault="004C4B64" w:rsidP="0039097E">
            <w:pPr>
              <w:jc w:val="both"/>
              <w:rPr>
                <w:rFonts w:cs="Calibri"/>
              </w:rPr>
            </w:pPr>
          </w:p>
        </w:tc>
      </w:tr>
    </w:tbl>
    <w:p w:rsidR="004C4B64" w:rsidRDefault="004C4B64" w:rsidP="004C4B64">
      <w:pPr>
        <w:tabs>
          <w:tab w:val="left" w:pos="4245"/>
        </w:tabs>
        <w:rPr>
          <w:rFonts w:cs="Arial"/>
          <w:b/>
          <w:szCs w:val="22"/>
        </w:rPr>
      </w:pPr>
    </w:p>
    <w:p w:rsidR="004C4B64" w:rsidRDefault="004C4B64" w:rsidP="004C4B64">
      <w:pPr>
        <w:tabs>
          <w:tab w:val="left" w:pos="4245"/>
        </w:tabs>
        <w:rPr>
          <w:rFonts w:cs="Arial"/>
          <w:b/>
          <w:szCs w:val="22"/>
        </w:rPr>
      </w:pPr>
      <w:r>
        <w:rPr>
          <w:rFonts w:cs="Arial"/>
          <w:b/>
          <w:szCs w:val="22"/>
        </w:rPr>
        <w:br w:type="page"/>
      </w:r>
      <w:r>
        <w:rPr>
          <w:rFonts w:cs="Arial"/>
          <w:b/>
          <w:szCs w:val="22"/>
        </w:rPr>
        <w:lastRenderedPageBreak/>
        <w:t>OPERATIONAL CONDITIONS</w:t>
      </w:r>
    </w:p>
    <w:tbl>
      <w:tblPr>
        <w:tblW w:w="10031" w:type="dxa"/>
        <w:tblLook w:val="01E0" w:firstRow="1" w:lastRow="1" w:firstColumn="1" w:lastColumn="1" w:noHBand="0" w:noVBand="0"/>
      </w:tblPr>
      <w:tblGrid>
        <w:gridCol w:w="495"/>
        <w:gridCol w:w="9536"/>
      </w:tblGrid>
      <w:tr w:rsidR="004C4B64" w:rsidTr="0039097E">
        <w:tc>
          <w:tcPr>
            <w:tcW w:w="495" w:type="dxa"/>
            <w:hideMark/>
          </w:tcPr>
          <w:p w:rsidR="004C4B64" w:rsidRDefault="004C4B64" w:rsidP="0039097E">
            <w:pPr>
              <w:rPr>
                <w:rFonts w:cs="Calibri"/>
              </w:rPr>
            </w:pPr>
            <w:r>
              <w:rPr>
                <w:rFonts w:cs="Calibri"/>
              </w:rPr>
              <w:t>35.</w:t>
            </w:r>
          </w:p>
        </w:tc>
        <w:tc>
          <w:tcPr>
            <w:tcW w:w="9536" w:type="dxa"/>
            <w:hideMark/>
          </w:tcPr>
          <w:p w:rsidR="004C4B64" w:rsidRDefault="004C4B64" w:rsidP="0039097E">
            <w:pPr>
              <w:autoSpaceDE w:val="0"/>
              <w:autoSpaceDN w:val="0"/>
              <w:adjustRightInd w:val="0"/>
              <w:jc w:val="both"/>
              <w:rPr>
                <w:rFonts w:cs="Calibri"/>
              </w:rPr>
            </w:pPr>
            <w:r>
              <w:rPr>
                <w:rFonts w:cs="Calibri"/>
              </w:rPr>
              <w:t>The developer must ensure:</w:t>
            </w:r>
          </w:p>
          <w:p w:rsidR="004C4B64" w:rsidRDefault="004C4B64" w:rsidP="004C4B64">
            <w:pPr>
              <w:numPr>
                <w:ilvl w:val="0"/>
                <w:numId w:val="7"/>
              </w:numPr>
              <w:autoSpaceDE w:val="0"/>
              <w:autoSpaceDN w:val="0"/>
              <w:adjustRightInd w:val="0"/>
              <w:spacing w:after="120" w:line="276" w:lineRule="auto"/>
              <w:ind w:left="714" w:hanging="357"/>
              <w:jc w:val="both"/>
              <w:rPr>
                <w:rFonts w:cs="Calibri"/>
              </w:rPr>
            </w:pPr>
            <w:r>
              <w:rPr>
                <w:rFonts w:cs="Calibri"/>
              </w:rPr>
              <w:t>The internal roads are constructed as all-weather roads;</w:t>
            </w:r>
          </w:p>
          <w:p w:rsidR="004C4B64" w:rsidRDefault="004C4B64" w:rsidP="004C4B64">
            <w:pPr>
              <w:numPr>
                <w:ilvl w:val="0"/>
                <w:numId w:val="7"/>
              </w:numPr>
              <w:autoSpaceDE w:val="0"/>
              <w:autoSpaceDN w:val="0"/>
              <w:adjustRightInd w:val="0"/>
              <w:spacing w:after="120" w:line="276" w:lineRule="auto"/>
              <w:ind w:left="714" w:hanging="357"/>
              <w:jc w:val="both"/>
              <w:rPr>
                <w:rFonts w:cs="Calibri"/>
              </w:rPr>
            </w:pPr>
            <w:r>
              <w:rPr>
                <w:rFonts w:cs="Calibri"/>
              </w:rPr>
              <w:t>There is sufficient parking on site for all vehicles, and no parking occurs on the public road network in the vicinity of the site;</w:t>
            </w:r>
          </w:p>
          <w:p w:rsidR="004C4B64" w:rsidRDefault="004C4B64" w:rsidP="004C4B64">
            <w:pPr>
              <w:numPr>
                <w:ilvl w:val="0"/>
                <w:numId w:val="7"/>
              </w:numPr>
              <w:autoSpaceDE w:val="0"/>
              <w:autoSpaceDN w:val="0"/>
              <w:adjustRightInd w:val="0"/>
              <w:spacing w:after="120" w:line="276" w:lineRule="auto"/>
              <w:ind w:left="714" w:hanging="357"/>
              <w:jc w:val="both"/>
              <w:rPr>
                <w:rFonts w:cs="Calibri"/>
              </w:rPr>
            </w:pPr>
            <w:r>
              <w:rPr>
                <w:rFonts w:cs="Calibri"/>
              </w:rPr>
              <w:t>All vehicles are loaded and unloaded on site, and enter and leave the site in a forward direction; and</w:t>
            </w:r>
          </w:p>
          <w:p w:rsidR="004C4B64" w:rsidRDefault="004C4B64" w:rsidP="004C4B64">
            <w:pPr>
              <w:numPr>
                <w:ilvl w:val="0"/>
                <w:numId w:val="7"/>
              </w:numPr>
              <w:autoSpaceDE w:val="0"/>
              <w:autoSpaceDN w:val="0"/>
              <w:adjustRightInd w:val="0"/>
              <w:spacing w:line="276" w:lineRule="auto"/>
              <w:ind w:left="714" w:hanging="357"/>
              <w:jc w:val="both"/>
              <w:rPr>
                <w:rFonts w:cs="Calibri"/>
              </w:rPr>
            </w:pPr>
            <w:r>
              <w:rPr>
                <w:rFonts w:cs="Calibri"/>
              </w:rPr>
              <w:t>Vehicles leaving the site are in a clean condition and do not result in dirt being tracked onto the public road network.</w:t>
            </w:r>
          </w:p>
          <w:p w:rsidR="004C4B64" w:rsidRDefault="004C4B64" w:rsidP="0039097E">
            <w:pPr>
              <w:autoSpaceDE w:val="0"/>
              <w:autoSpaceDN w:val="0"/>
              <w:adjustRightInd w:val="0"/>
              <w:spacing w:line="276" w:lineRule="auto"/>
              <w:jc w:val="both"/>
              <w:rPr>
                <w:rFonts w:cs="Calibri"/>
              </w:rPr>
            </w:pPr>
          </w:p>
        </w:tc>
      </w:tr>
      <w:tr w:rsidR="004C4B64" w:rsidTr="0039097E">
        <w:tc>
          <w:tcPr>
            <w:tcW w:w="495" w:type="dxa"/>
            <w:hideMark/>
          </w:tcPr>
          <w:p w:rsidR="004C4B64" w:rsidRDefault="004C4B64" w:rsidP="0039097E">
            <w:pPr>
              <w:rPr>
                <w:rFonts w:cs="Calibri"/>
              </w:rPr>
            </w:pPr>
            <w:r>
              <w:rPr>
                <w:rFonts w:cs="Calibri"/>
              </w:rPr>
              <w:t>36.</w:t>
            </w:r>
          </w:p>
        </w:tc>
        <w:tc>
          <w:tcPr>
            <w:tcW w:w="9536" w:type="dxa"/>
          </w:tcPr>
          <w:p w:rsidR="004C4B64" w:rsidRDefault="004C4B64" w:rsidP="0039097E">
            <w:pPr>
              <w:spacing w:after="120"/>
              <w:jc w:val="both"/>
              <w:rPr>
                <w:rFonts w:cs="Calibri"/>
              </w:rPr>
            </w:pPr>
            <w:r>
              <w:rPr>
                <w:rFonts w:cs="Calibri"/>
              </w:rPr>
              <w:t>The solar farm is to be decommissioned to the satisfaction of Council and the site returned to pre construction agricultural use, once the use has ceased and/or become inactive for more than 12 months.</w:t>
            </w:r>
          </w:p>
          <w:p w:rsidR="004C4B64" w:rsidRDefault="004C4B64" w:rsidP="0039097E">
            <w:pPr>
              <w:jc w:val="both"/>
              <w:rPr>
                <w:rFonts w:cs="Calibri"/>
              </w:rPr>
            </w:pPr>
            <w:r>
              <w:rPr>
                <w:rFonts w:cs="Calibri"/>
              </w:rPr>
              <w:t>All decommissioning is to be undertaken in accordance with the approved plan/s unless varied by Council.</w:t>
            </w:r>
          </w:p>
          <w:p w:rsidR="004C4B64" w:rsidRDefault="004C4B64" w:rsidP="0039097E">
            <w:pPr>
              <w:jc w:val="both"/>
              <w:rPr>
                <w:rFonts w:cs="Calibri"/>
              </w:rPr>
            </w:pPr>
            <w:r>
              <w:rPr>
                <w:rFonts w:cs="Calibri"/>
              </w:rPr>
              <w:t xml:space="preserve">   </w:t>
            </w:r>
          </w:p>
        </w:tc>
      </w:tr>
      <w:tr w:rsidR="004C4B64" w:rsidTr="0039097E">
        <w:tc>
          <w:tcPr>
            <w:tcW w:w="495" w:type="dxa"/>
          </w:tcPr>
          <w:p w:rsidR="004C4B64" w:rsidRDefault="004C4B64" w:rsidP="0039097E">
            <w:pPr>
              <w:rPr>
                <w:rFonts w:cs="Calibri"/>
              </w:rPr>
            </w:pPr>
            <w:r>
              <w:rPr>
                <w:rFonts w:cs="Calibri"/>
              </w:rPr>
              <w:t>37.</w:t>
            </w:r>
          </w:p>
        </w:tc>
        <w:tc>
          <w:tcPr>
            <w:tcW w:w="9536" w:type="dxa"/>
          </w:tcPr>
          <w:p w:rsidR="004C4B64" w:rsidRDefault="004C4B64" w:rsidP="0039097E">
            <w:pPr>
              <w:jc w:val="both"/>
              <w:rPr>
                <w:rFonts w:cs="Calibri"/>
              </w:rPr>
            </w:pPr>
            <w:r>
              <w:rPr>
                <w:rFonts w:cs="Calibri"/>
              </w:rPr>
              <w:t>The ongoing operational phase of the solar farm development is to be undertaken at all times in accordance with all approved and adopted Plans.</w:t>
            </w:r>
          </w:p>
          <w:p w:rsidR="004C4B64" w:rsidRDefault="004C4B64" w:rsidP="0039097E">
            <w:pPr>
              <w:jc w:val="both"/>
              <w:rPr>
                <w:rFonts w:cs="Calibri"/>
              </w:rPr>
            </w:pPr>
          </w:p>
        </w:tc>
      </w:tr>
      <w:tr w:rsidR="004C4B64" w:rsidTr="0039097E">
        <w:tc>
          <w:tcPr>
            <w:tcW w:w="495" w:type="dxa"/>
            <w:hideMark/>
          </w:tcPr>
          <w:p w:rsidR="004C4B64" w:rsidRDefault="004C4B64" w:rsidP="0039097E">
            <w:pPr>
              <w:rPr>
                <w:rFonts w:cs="Calibri"/>
              </w:rPr>
            </w:pPr>
            <w:r>
              <w:rPr>
                <w:rFonts w:cs="Calibri"/>
              </w:rPr>
              <w:t>38.</w:t>
            </w:r>
          </w:p>
        </w:tc>
        <w:tc>
          <w:tcPr>
            <w:tcW w:w="9536" w:type="dxa"/>
          </w:tcPr>
          <w:p w:rsidR="004C4B64" w:rsidRDefault="004C4B64" w:rsidP="0039097E">
            <w:pPr>
              <w:jc w:val="both"/>
              <w:rPr>
                <w:rFonts w:ascii="Arial" w:hAnsi="Arial"/>
                <w:sz w:val="24"/>
              </w:rPr>
            </w:pPr>
            <w:r>
              <w:rPr>
                <w:rFonts w:cs="Arial"/>
              </w:rPr>
              <w:t>Any lighting used on site in connection with the development is to comply with AS 4282 – Control of the Obtrusive Effects of Outdoor Lighting.</w:t>
            </w:r>
          </w:p>
          <w:p w:rsidR="004C4B64" w:rsidRDefault="004C4B64" w:rsidP="0039097E">
            <w:pPr>
              <w:autoSpaceDE w:val="0"/>
              <w:autoSpaceDN w:val="0"/>
              <w:adjustRightInd w:val="0"/>
              <w:rPr>
                <w:rFonts w:cs="Calibri"/>
              </w:rPr>
            </w:pPr>
          </w:p>
        </w:tc>
      </w:tr>
      <w:tr w:rsidR="004C4B64" w:rsidTr="0039097E">
        <w:tc>
          <w:tcPr>
            <w:tcW w:w="495" w:type="dxa"/>
            <w:hideMark/>
          </w:tcPr>
          <w:p w:rsidR="004C4B64" w:rsidRDefault="004C4B64" w:rsidP="0039097E">
            <w:pPr>
              <w:rPr>
                <w:rFonts w:cs="Calibri"/>
              </w:rPr>
            </w:pPr>
            <w:r>
              <w:rPr>
                <w:rFonts w:cs="Calibri"/>
              </w:rPr>
              <w:t>39.</w:t>
            </w:r>
          </w:p>
        </w:tc>
        <w:tc>
          <w:tcPr>
            <w:tcW w:w="9536" w:type="dxa"/>
          </w:tcPr>
          <w:p w:rsidR="004C4B64" w:rsidRDefault="004C4B64" w:rsidP="0039097E">
            <w:pPr>
              <w:jc w:val="both"/>
              <w:rPr>
                <w:rFonts w:cs="Calibri"/>
              </w:rPr>
            </w:pPr>
            <w:r>
              <w:rPr>
                <w:rFonts w:cs="Calibri"/>
              </w:rPr>
              <w:t>The developer must implement all reasonable and feasible measures to prevent and/or minimise any material harm to the environment that may result from the construction, operation, or decommissioning of the development, including weed control.</w:t>
            </w:r>
          </w:p>
          <w:p w:rsidR="004C4B64" w:rsidRDefault="004C4B64" w:rsidP="0039097E">
            <w:pPr>
              <w:jc w:val="both"/>
              <w:rPr>
                <w:rFonts w:cs="Calibri"/>
              </w:rPr>
            </w:pPr>
          </w:p>
        </w:tc>
      </w:tr>
      <w:tr w:rsidR="004C4B64" w:rsidTr="0039097E">
        <w:tc>
          <w:tcPr>
            <w:tcW w:w="495" w:type="dxa"/>
            <w:hideMark/>
          </w:tcPr>
          <w:p w:rsidR="004C4B64" w:rsidRDefault="004C4B64" w:rsidP="0039097E">
            <w:pPr>
              <w:rPr>
                <w:rFonts w:cs="Calibri"/>
              </w:rPr>
            </w:pPr>
            <w:r>
              <w:rPr>
                <w:rFonts w:cs="Calibri"/>
              </w:rPr>
              <w:t>40.</w:t>
            </w:r>
          </w:p>
        </w:tc>
        <w:tc>
          <w:tcPr>
            <w:tcW w:w="9536" w:type="dxa"/>
          </w:tcPr>
          <w:p w:rsidR="004C4B64" w:rsidRDefault="004C4B64" w:rsidP="0039097E">
            <w:pPr>
              <w:jc w:val="both"/>
              <w:rPr>
                <w:rFonts w:cs="Arial"/>
              </w:rPr>
            </w:pPr>
            <w:r>
              <w:rPr>
                <w:rFonts w:cs="Arial"/>
              </w:rPr>
              <w:t>On-going monitoring of the health and performance of the visual plant screen during the life operation of the solar farm.  Plant stock must be replaced, whenever necessary, to ensure the screen continues to act as an effective visual barrier.</w:t>
            </w:r>
          </w:p>
          <w:p w:rsidR="004C4B64" w:rsidRDefault="004C4B64" w:rsidP="0039097E">
            <w:pPr>
              <w:jc w:val="both"/>
              <w:rPr>
                <w:rFonts w:cs="Arial"/>
              </w:rPr>
            </w:pPr>
          </w:p>
        </w:tc>
      </w:tr>
      <w:tr w:rsidR="004C4B64" w:rsidTr="0039097E">
        <w:tc>
          <w:tcPr>
            <w:tcW w:w="495" w:type="dxa"/>
            <w:hideMark/>
          </w:tcPr>
          <w:p w:rsidR="004C4B64" w:rsidRDefault="004C4B64" w:rsidP="0039097E">
            <w:pPr>
              <w:rPr>
                <w:rFonts w:cs="Calibri"/>
              </w:rPr>
            </w:pPr>
            <w:r>
              <w:rPr>
                <w:rFonts w:cs="Calibri"/>
              </w:rPr>
              <w:t>41.</w:t>
            </w:r>
          </w:p>
        </w:tc>
        <w:tc>
          <w:tcPr>
            <w:tcW w:w="9536" w:type="dxa"/>
          </w:tcPr>
          <w:p w:rsidR="004C4B64" w:rsidRDefault="004C4B64" w:rsidP="0039097E">
            <w:pPr>
              <w:jc w:val="both"/>
              <w:rPr>
                <w:rFonts w:cs="Arial"/>
              </w:rPr>
            </w:pPr>
            <w:r>
              <w:rPr>
                <w:rFonts w:cs="Arial"/>
              </w:rPr>
              <w:t>The developer must:</w:t>
            </w:r>
          </w:p>
          <w:p w:rsidR="004C4B64" w:rsidRDefault="004C4B64" w:rsidP="004C4B64">
            <w:pPr>
              <w:numPr>
                <w:ilvl w:val="0"/>
                <w:numId w:val="8"/>
              </w:numPr>
              <w:autoSpaceDE w:val="0"/>
              <w:autoSpaceDN w:val="0"/>
              <w:adjustRightInd w:val="0"/>
              <w:spacing w:after="120" w:line="276" w:lineRule="auto"/>
              <w:jc w:val="both"/>
              <w:rPr>
                <w:rFonts w:cs="Arial"/>
              </w:rPr>
            </w:pPr>
            <w:r>
              <w:rPr>
                <w:rFonts w:cs="Arial"/>
              </w:rPr>
              <w:t>minimise the off-site visual impacts of the development, including the potential for any glare or reflection from the solar panels;</w:t>
            </w:r>
          </w:p>
          <w:p w:rsidR="004C4B64" w:rsidRDefault="004C4B64" w:rsidP="004C4B64">
            <w:pPr>
              <w:numPr>
                <w:ilvl w:val="0"/>
                <w:numId w:val="8"/>
              </w:numPr>
              <w:autoSpaceDE w:val="0"/>
              <w:autoSpaceDN w:val="0"/>
              <w:adjustRightInd w:val="0"/>
              <w:spacing w:after="120" w:line="276" w:lineRule="auto"/>
              <w:jc w:val="both"/>
              <w:rPr>
                <w:rFonts w:cs="Arial"/>
              </w:rPr>
            </w:pPr>
            <w:r>
              <w:rPr>
                <w:rFonts w:cs="Arial"/>
              </w:rPr>
              <w:t>ensure the visual appearance of all ancillary infrastructure (including paint colours) blends in as far as possible with the surrounding landscape; and</w:t>
            </w:r>
          </w:p>
          <w:p w:rsidR="004C4B64" w:rsidRDefault="004C4B64" w:rsidP="004C4B64">
            <w:pPr>
              <w:numPr>
                <w:ilvl w:val="0"/>
                <w:numId w:val="8"/>
              </w:numPr>
              <w:autoSpaceDE w:val="0"/>
              <w:autoSpaceDN w:val="0"/>
              <w:adjustRightInd w:val="0"/>
              <w:spacing w:after="120" w:line="276" w:lineRule="auto"/>
              <w:ind w:left="714" w:hanging="357"/>
              <w:jc w:val="both"/>
              <w:rPr>
                <w:rFonts w:cs="Arial"/>
              </w:rPr>
            </w:pPr>
            <w:proofErr w:type="gramStart"/>
            <w:r>
              <w:rPr>
                <w:rFonts w:cs="Arial"/>
              </w:rPr>
              <w:t>not</w:t>
            </w:r>
            <w:proofErr w:type="gramEnd"/>
            <w:r>
              <w:rPr>
                <w:rFonts w:cs="Arial"/>
              </w:rPr>
              <w:t xml:space="preserve"> mount any advertising signs or logos on site, except where this is required for safety purposes.</w:t>
            </w:r>
          </w:p>
        </w:tc>
      </w:tr>
      <w:tr w:rsidR="004C4B64" w:rsidTr="0039097E">
        <w:tc>
          <w:tcPr>
            <w:tcW w:w="495" w:type="dxa"/>
            <w:hideMark/>
          </w:tcPr>
          <w:p w:rsidR="004C4B64" w:rsidRDefault="004C4B64" w:rsidP="0039097E">
            <w:pPr>
              <w:rPr>
                <w:rFonts w:cs="Calibri"/>
              </w:rPr>
            </w:pPr>
            <w:r>
              <w:rPr>
                <w:rFonts w:cs="Calibri"/>
              </w:rPr>
              <w:t>42.</w:t>
            </w:r>
          </w:p>
        </w:tc>
        <w:tc>
          <w:tcPr>
            <w:tcW w:w="9536" w:type="dxa"/>
          </w:tcPr>
          <w:p w:rsidR="004C4B64" w:rsidRDefault="004C4B64" w:rsidP="0039097E">
            <w:pPr>
              <w:jc w:val="both"/>
              <w:rPr>
                <w:rFonts w:cs="Arial"/>
              </w:rPr>
            </w:pPr>
            <w:r>
              <w:rPr>
                <w:rFonts w:cs="Arial"/>
              </w:rPr>
              <w:t>The applicant must:</w:t>
            </w:r>
          </w:p>
          <w:p w:rsidR="004C4B64" w:rsidRDefault="004C4B64" w:rsidP="004C4B64">
            <w:pPr>
              <w:numPr>
                <w:ilvl w:val="0"/>
                <w:numId w:val="9"/>
              </w:numPr>
              <w:autoSpaceDE w:val="0"/>
              <w:autoSpaceDN w:val="0"/>
              <w:adjustRightInd w:val="0"/>
              <w:spacing w:after="200" w:line="276" w:lineRule="auto"/>
              <w:jc w:val="both"/>
              <w:rPr>
                <w:rFonts w:cs="Arial"/>
              </w:rPr>
            </w:pPr>
            <w:r>
              <w:rPr>
                <w:rFonts w:cs="Arial"/>
              </w:rPr>
              <w:t>Store and handle all dangerous or hazardous materials on site in accordance with AS1940-2004:  The storage and handling of flammable and combustible liquids, or its latest version; and</w:t>
            </w:r>
          </w:p>
          <w:p w:rsidR="004C4B64" w:rsidRDefault="004C4B64" w:rsidP="004C4B64">
            <w:pPr>
              <w:numPr>
                <w:ilvl w:val="0"/>
                <w:numId w:val="9"/>
              </w:numPr>
              <w:autoSpaceDE w:val="0"/>
              <w:autoSpaceDN w:val="0"/>
              <w:adjustRightInd w:val="0"/>
              <w:spacing w:after="200" w:line="276" w:lineRule="auto"/>
              <w:jc w:val="both"/>
              <w:rPr>
                <w:rFonts w:cs="Arial"/>
              </w:rPr>
            </w:pPr>
            <w:r>
              <w:rPr>
                <w:rFonts w:cs="Arial"/>
              </w:rPr>
              <w:t>Minimise any spills of hazardous materials or hydrocarbons, and clean up any spills as soon as possible after they occur.</w:t>
            </w:r>
          </w:p>
        </w:tc>
      </w:tr>
      <w:tr w:rsidR="004C4B64" w:rsidRPr="0003633F" w:rsidTr="0039097E">
        <w:tc>
          <w:tcPr>
            <w:tcW w:w="495" w:type="dxa"/>
            <w:hideMark/>
          </w:tcPr>
          <w:p w:rsidR="004C4B64" w:rsidRPr="0003633F" w:rsidRDefault="004C4B64" w:rsidP="0039097E">
            <w:pPr>
              <w:rPr>
                <w:rFonts w:cs="Calibri"/>
              </w:rPr>
            </w:pPr>
            <w:r>
              <w:rPr>
                <w:rFonts w:cs="Calibri"/>
              </w:rPr>
              <w:t>43</w:t>
            </w:r>
            <w:r w:rsidRPr="0003633F">
              <w:rPr>
                <w:rFonts w:cs="Calibri"/>
              </w:rPr>
              <w:t>.</w:t>
            </w:r>
          </w:p>
        </w:tc>
        <w:tc>
          <w:tcPr>
            <w:tcW w:w="9536" w:type="dxa"/>
          </w:tcPr>
          <w:p w:rsidR="004C4B64" w:rsidRPr="0003633F" w:rsidRDefault="004C4B64" w:rsidP="0039097E">
            <w:pPr>
              <w:jc w:val="both"/>
              <w:rPr>
                <w:rFonts w:cs="Arial"/>
              </w:rPr>
            </w:pPr>
            <w:r w:rsidRPr="0003633F">
              <w:rPr>
                <w:rFonts w:cs="Arial"/>
              </w:rPr>
              <w:t>The development is to be provided at all times with a minimum 20,000 litre dedicated water supply for fire fighting purposes.</w:t>
            </w:r>
          </w:p>
        </w:tc>
      </w:tr>
    </w:tbl>
    <w:p w:rsidR="004C4B64" w:rsidRDefault="004C4B64" w:rsidP="004C4B64">
      <w:pPr>
        <w:tabs>
          <w:tab w:val="left" w:pos="4245"/>
        </w:tabs>
        <w:rPr>
          <w:rFonts w:cs="Arial"/>
          <w:b/>
          <w:szCs w:val="22"/>
        </w:rPr>
      </w:pPr>
    </w:p>
    <w:p w:rsidR="004C4B64" w:rsidRDefault="004C4B64" w:rsidP="004C4B64">
      <w:pPr>
        <w:tabs>
          <w:tab w:val="left" w:pos="4245"/>
        </w:tabs>
        <w:rPr>
          <w:rFonts w:cs="Arial"/>
          <w:b/>
          <w:szCs w:val="22"/>
        </w:rPr>
      </w:pPr>
    </w:p>
    <w:p w:rsidR="00DB677D" w:rsidRDefault="00DB677D">
      <w:pPr>
        <w:rPr>
          <w:rFonts w:cs="Arial"/>
          <w:b/>
          <w:szCs w:val="22"/>
        </w:rPr>
      </w:pPr>
      <w:r>
        <w:rPr>
          <w:rFonts w:cs="Arial"/>
          <w:b/>
          <w:szCs w:val="22"/>
        </w:rPr>
        <w:br w:type="page"/>
      </w:r>
      <w:bookmarkStart w:id="0" w:name="_GoBack"/>
      <w:bookmarkEnd w:id="0"/>
    </w:p>
    <w:p w:rsidR="004C4B64" w:rsidRDefault="004C4B64" w:rsidP="004C4B64">
      <w:pPr>
        <w:tabs>
          <w:tab w:val="left" w:pos="4245"/>
        </w:tabs>
        <w:rPr>
          <w:rFonts w:cs="Arial"/>
          <w:b/>
          <w:szCs w:val="22"/>
        </w:rPr>
      </w:pPr>
      <w:r>
        <w:rPr>
          <w:rFonts w:cs="Arial"/>
          <w:b/>
          <w:szCs w:val="22"/>
        </w:rPr>
        <w:lastRenderedPageBreak/>
        <w:t>ADVISING</w:t>
      </w:r>
    </w:p>
    <w:p w:rsidR="004C4B64" w:rsidRDefault="004C4B64" w:rsidP="004C4B64">
      <w:pPr>
        <w:tabs>
          <w:tab w:val="left" w:pos="4245"/>
        </w:tabs>
        <w:rPr>
          <w:rFonts w:cs="Arial"/>
          <w:b/>
          <w:szCs w:val="22"/>
        </w:rPr>
      </w:pPr>
    </w:p>
    <w:p w:rsidR="004C4B64" w:rsidRDefault="004C4B64" w:rsidP="004C4B64">
      <w:pPr>
        <w:spacing w:after="120"/>
        <w:rPr>
          <w:rFonts w:cs="Calibri"/>
          <w:u w:val="single"/>
        </w:rPr>
      </w:pPr>
      <w:r>
        <w:rPr>
          <w:rFonts w:cs="Calibri"/>
          <w:u w:val="single"/>
        </w:rPr>
        <w:t>Note 1</w:t>
      </w:r>
    </w:p>
    <w:p w:rsidR="004C4B64" w:rsidRDefault="004C4B64" w:rsidP="004C4B64">
      <w:pPr>
        <w:spacing w:after="120"/>
        <w:jc w:val="both"/>
        <w:rPr>
          <w:rFonts w:cs="Calibri"/>
        </w:rPr>
      </w:pPr>
      <w:r>
        <w:rPr>
          <w:rFonts w:cs="Calibri"/>
        </w:rPr>
        <w:t>In the event that Aboriginal artefacts are identified on the site during development through earthworks or construction, the Applicant shall contact the National Parks and Wildlife Service (NPWS – part of the Office of Environment and Heritage) and cease work in the relevant location pending investigation and assessment of its heritage value by NPWS and the relevant local Aboriginal groups.</w:t>
      </w:r>
    </w:p>
    <w:p w:rsidR="004C4B64" w:rsidRDefault="004C4B64" w:rsidP="004C4B64">
      <w:pPr>
        <w:spacing w:after="120"/>
        <w:jc w:val="both"/>
        <w:rPr>
          <w:rFonts w:cs="Calibri"/>
        </w:rPr>
      </w:pPr>
      <w:r>
        <w:rPr>
          <w:rFonts w:cs="Calibri"/>
        </w:rPr>
        <w:t>A ‘Consent to Destroy’ Application under section 90 of the National Parks and Wildlife Act 1974 must be submitted and issued by the Director-General of National Parks and Wildlife for any Aboriginal archaeological sites that are to be damaged or destroyed as a result of any development. The Applicant shall consult with the relevant local Aboriginal groups and to the satisfaction of the NPWS prior to any ‘Consent to Destroy’ Application being submitted.</w:t>
      </w:r>
    </w:p>
    <w:p w:rsidR="004C4B64" w:rsidRDefault="004C4B64" w:rsidP="004C4B64">
      <w:pPr>
        <w:spacing w:after="120"/>
        <w:rPr>
          <w:rFonts w:cs="Calibri"/>
        </w:rPr>
      </w:pPr>
      <w:r>
        <w:rPr>
          <w:rFonts w:cs="Calibri"/>
        </w:rPr>
        <w:t>For further information see the NPWS Code of Practice for Archaeological Investigations in NSW:</w:t>
      </w:r>
    </w:p>
    <w:p w:rsidR="004C4B64" w:rsidRDefault="004C4B64" w:rsidP="004C4B64">
      <w:pPr>
        <w:rPr>
          <w:rFonts w:cs="Calibri"/>
          <w:color w:val="808080"/>
        </w:rPr>
      </w:pPr>
      <w:hyperlink r:id="rId15" w:history="1">
        <w:r>
          <w:rPr>
            <w:rStyle w:val="Hyperlink"/>
            <w:rFonts w:cs="Calibri"/>
          </w:rPr>
          <w:t>http://www.environment.nsw.gov.au/licences/archinvestigations.htm</w:t>
        </w:r>
      </w:hyperlink>
    </w:p>
    <w:p w:rsidR="004C4B64" w:rsidRDefault="004C4B64" w:rsidP="004C4B64">
      <w:pPr>
        <w:rPr>
          <w:rFonts w:cs="Calibri"/>
        </w:rPr>
      </w:pPr>
    </w:p>
    <w:p w:rsidR="004C4B64" w:rsidRDefault="004C4B64" w:rsidP="004C4B64">
      <w:pPr>
        <w:spacing w:after="120"/>
        <w:rPr>
          <w:rFonts w:cs="Calibri"/>
          <w:u w:val="single"/>
        </w:rPr>
      </w:pPr>
      <w:r>
        <w:rPr>
          <w:rFonts w:cs="Calibri"/>
          <w:u w:val="single"/>
        </w:rPr>
        <w:t>Note 2</w:t>
      </w:r>
    </w:p>
    <w:p w:rsidR="004C4B64" w:rsidRDefault="004C4B64" w:rsidP="004C4B64">
      <w:pPr>
        <w:spacing w:after="120"/>
        <w:rPr>
          <w:rFonts w:cs="Calibri"/>
        </w:rPr>
      </w:pPr>
      <w:r>
        <w:rPr>
          <w:rFonts w:cs="Calibri"/>
        </w:rPr>
        <w:t xml:space="preserve">In the event that any relics, being any deposit, artefact, object or material evidence that: </w:t>
      </w:r>
    </w:p>
    <w:p w:rsidR="004C4B64" w:rsidRDefault="004C4B64" w:rsidP="004C4B64">
      <w:pPr>
        <w:spacing w:after="120"/>
        <w:ind w:left="567" w:hanging="425"/>
        <w:jc w:val="both"/>
        <w:rPr>
          <w:rFonts w:cs="Calibri"/>
        </w:rPr>
      </w:pPr>
      <w:r>
        <w:rPr>
          <w:rFonts w:cs="Calibri"/>
        </w:rPr>
        <w:t xml:space="preserve">(a) </w:t>
      </w:r>
      <w:r>
        <w:rPr>
          <w:rFonts w:cs="Calibri"/>
        </w:rPr>
        <w:tab/>
      </w:r>
      <w:proofErr w:type="gramStart"/>
      <w:r>
        <w:rPr>
          <w:rFonts w:cs="Calibri"/>
        </w:rPr>
        <w:t>relates</w:t>
      </w:r>
      <w:proofErr w:type="gramEnd"/>
      <w:r>
        <w:rPr>
          <w:rFonts w:cs="Calibri"/>
        </w:rPr>
        <w:t xml:space="preserve"> to the settlement of the area that comprises New South Wales, not being Aboriginal settlement, and</w:t>
      </w:r>
    </w:p>
    <w:p w:rsidR="004C4B64" w:rsidRDefault="004C4B64" w:rsidP="004C4B64">
      <w:pPr>
        <w:spacing w:after="120"/>
        <w:ind w:left="567" w:hanging="425"/>
        <w:jc w:val="both"/>
        <w:rPr>
          <w:rFonts w:cs="Calibri"/>
        </w:rPr>
      </w:pPr>
      <w:r>
        <w:rPr>
          <w:rFonts w:cs="Calibri"/>
        </w:rPr>
        <w:t>(</w:t>
      </w:r>
      <w:proofErr w:type="gramStart"/>
      <w:r>
        <w:rPr>
          <w:rFonts w:cs="Calibri"/>
        </w:rPr>
        <w:t>b</w:t>
      </w:r>
      <w:proofErr w:type="gramEnd"/>
      <w:r>
        <w:rPr>
          <w:rFonts w:cs="Calibri"/>
        </w:rPr>
        <w:t xml:space="preserve">) </w:t>
      </w:r>
      <w:r>
        <w:rPr>
          <w:rFonts w:cs="Calibri"/>
        </w:rPr>
        <w:tab/>
        <w:t>is of State or local heritage significance,</w:t>
      </w:r>
    </w:p>
    <w:p w:rsidR="004C4B64" w:rsidRDefault="004C4B64" w:rsidP="004C4B64">
      <w:pPr>
        <w:spacing w:after="120"/>
        <w:jc w:val="both"/>
        <w:rPr>
          <w:rFonts w:cs="Calibri"/>
        </w:rPr>
      </w:pPr>
      <w:proofErr w:type="gramStart"/>
      <w:r>
        <w:rPr>
          <w:rFonts w:cs="Calibri"/>
        </w:rPr>
        <w:t>are</w:t>
      </w:r>
      <w:proofErr w:type="gramEnd"/>
      <w:r>
        <w:rPr>
          <w:rFonts w:cs="Calibri"/>
        </w:rPr>
        <w:t xml:space="preserve"> identified on the site during development through earthworks or construction, the Applicant/developer shall notify the NSW Heritage Council as required under s.146 of the Heritage Act 1977, as well as the Armidale Regional Council, of the find and await further advice before proceeding with the development.</w:t>
      </w:r>
    </w:p>
    <w:p w:rsidR="004C4B64" w:rsidRDefault="00DB677D" w:rsidP="00DB677D">
      <w:pPr>
        <w:pStyle w:val="BodyTextIndent3"/>
        <w:tabs>
          <w:tab w:val="left" w:pos="4245"/>
        </w:tabs>
        <w:ind w:left="0" w:firstLine="0"/>
        <w:rPr>
          <w:rFonts w:cs="Arial"/>
        </w:rPr>
      </w:pPr>
      <w:r>
        <w:rPr>
          <w:rFonts w:cs="Arial"/>
        </w:rPr>
        <w:t xml:space="preserve"> </w:t>
      </w:r>
    </w:p>
    <w:p w:rsidR="00E91A5A" w:rsidRDefault="00E91A5A"/>
    <w:sectPr w:rsidR="00E91A5A" w:rsidSect="0037638B">
      <w:headerReference w:type="even" r:id="rId16"/>
      <w:headerReference w:type="default" r:id="rId17"/>
      <w:headerReference w:type="first" r:id="rId18"/>
      <w:pgSz w:w="11900" w:h="16840" w:code="9"/>
      <w:pgMar w:top="540" w:right="701" w:bottom="851" w:left="1134" w:header="284" w:footer="3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64" w:rsidRDefault="004C4B64" w:rsidP="004C4B64">
      <w:r>
        <w:separator/>
      </w:r>
    </w:p>
  </w:endnote>
  <w:endnote w:type="continuationSeparator" w:id="0">
    <w:p w:rsidR="004C4B64" w:rsidRDefault="004C4B64" w:rsidP="004C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64" w:rsidRDefault="004C4B64" w:rsidP="004C4B64">
      <w:r>
        <w:separator/>
      </w:r>
    </w:p>
  </w:footnote>
  <w:footnote w:type="continuationSeparator" w:id="0">
    <w:p w:rsidR="004C4B64" w:rsidRDefault="004C4B64" w:rsidP="004C4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8B" w:rsidRDefault="00DB67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8B" w:rsidRDefault="00DB67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8B" w:rsidRPr="00677CFF" w:rsidRDefault="00DB677D" w:rsidP="0037638B">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B4BFC"/>
    <w:multiLevelType w:val="hybridMultilevel"/>
    <w:tmpl w:val="AABA26B6"/>
    <w:lvl w:ilvl="0" w:tplc="FFFFFFFF">
      <w:start w:val="1"/>
      <w:numFmt w:val="bullet"/>
      <w:lvlText w:val=""/>
      <w:lvlJc w:val="left"/>
      <w:pPr>
        <w:ind w:left="1501" w:hanging="360"/>
      </w:pPr>
      <w:rPr>
        <w:rFonts w:ascii="Symbol" w:hAnsi="Symbol" w:hint="default"/>
      </w:rPr>
    </w:lvl>
    <w:lvl w:ilvl="1" w:tplc="FFFFFFFF" w:tentative="1">
      <w:start w:val="1"/>
      <w:numFmt w:val="bullet"/>
      <w:lvlText w:val="o"/>
      <w:lvlJc w:val="left"/>
      <w:pPr>
        <w:ind w:left="2221" w:hanging="360"/>
      </w:pPr>
      <w:rPr>
        <w:rFonts w:ascii="Courier New" w:hAnsi="Courier New" w:cs="Courier New" w:hint="default"/>
      </w:rPr>
    </w:lvl>
    <w:lvl w:ilvl="2" w:tplc="FFFFFFFF" w:tentative="1">
      <w:start w:val="1"/>
      <w:numFmt w:val="bullet"/>
      <w:lvlText w:val=""/>
      <w:lvlJc w:val="left"/>
      <w:pPr>
        <w:ind w:left="2941" w:hanging="360"/>
      </w:pPr>
      <w:rPr>
        <w:rFonts w:ascii="Wingdings" w:hAnsi="Wingdings" w:hint="default"/>
      </w:rPr>
    </w:lvl>
    <w:lvl w:ilvl="3" w:tplc="FFFFFFFF" w:tentative="1">
      <w:start w:val="1"/>
      <w:numFmt w:val="bullet"/>
      <w:lvlText w:val=""/>
      <w:lvlJc w:val="left"/>
      <w:pPr>
        <w:ind w:left="3661" w:hanging="360"/>
      </w:pPr>
      <w:rPr>
        <w:rFonts w:ascii="Symbol" w:hAnsi="Symbol" w:hint="default"/>
      </w:rPr>
    </w:lvl>
    <w:lvl w:ilvl="4" w:tplc="FFFFFFFF" w:tentative="1">
      <w:start w:val="1"/>
      <w:numFmt w:val="bullet"/>
      <w:lvlText w:val="o"/>
      <w:lvlJc w:val="left"/>
      <w:pPr>
        <w:ind w:left="4381" w:hanging="360"/>
      </w:pPr>
      <w:rPr>
        <w:rFonts w:ascii="Courier New" w:hAnsi="Courier New" w:cs="Courier New" w:hint="default"/>
      </w:rPr>
    </w:lvl>
    <w:lvl w:ilvl="5" w:tplc="FFFFFFFF" w:tentative="1">
      <w:start w:val="1"/>
      <w:numFmt w:val="bullet"/>
      <w:lvlText w:val=""/>
      <w:lvlJc w:val="left"/>
      <w:pPr>
        <w:ind w:left="5101" w:hanging="360"/>
      </w:pPr>
      <w:rPr>
        <w:rFonts w:ascii="Wingdings" w:hAnsi="Wingdings" w:hint="default"/>
      </w:rPr>
    </w:lvl>
    <w:lvl w:ilvl="6" w:tplc="FFFFFFFF" w:tentative="1">
      <w:start w:val="1"/>
      <w:numFmt w:val="bullet"/>
      <w:lvlText w:val=""/>
      <w:lvlJc w:val="left"/>
      <w:pPr>
        <w:ind w:left="5821" w:hanging="360"/>
      </w:pPr>
      <w:rPr>
        <w:rFonts w:ascii="Symbol" w:hAnsi="Symbol" w:hint="default"/>
      </w:rPr>
    </w:lvl>
    <w:lvl w:ilvl="7" w:tplc="FFFFFFFF" w:tentative="1">
      <w:start w:val="1"/>
      <w:numFmt w:val="bullet"/>
      <w:lvlText w:val="o"/>
      <w:lvlJc w:val="left"/>
      <w:pPr>
        <w:ind w:left="6541" w:hanging="360"/>
      </w:pPr>
      <w:rPr>
        <w:rFonts w:ascii="Courier New" w:hAnsi="Courier New" w:cs="Courier New" w:hint="default"/>
      </w:rPr>
    </w:lvl>
    <w:lvl w:ilvl="8" w:tplc="FFFFFFFF" w:tentative="1">
      <w:start w:val="1"/>
      <w:numFmt w:val="bullet"/>
      <w:lvlText w:val=""/>
      <w:lvlJc w:val="left"/>
      <w:pPr>
        <w:ind w:left="7261" w:hanging="360"/>
      </w:pPr>
      <w:rPr>
        <w:rFonts w:ascii="Wingdings" w:hAnsi="Wingdings" w:hint="default"/>
      </w:rPr>
    </w:lvl>
  </w:abstractNum>
  <w:abstractNum w:abstractNumId="1">
    <w:nsid w:val="32011705"/>
    <w:multiLevelType w:val="hybridMultilevel"/>
    <w:tmpl w:val="8AB248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58615CE"/>
    <w:multiLevelType w:val="hybridMultilevel"/>
    <w:tmpl w:val="1F0C5174"/>
    <w:lvl w:ilvl="0" w:tplc="FFFFFFFF">
      <w:start w:val="10"/>
      <w:numFmt w:val="bullet"/>
      <w:lvlText w:val="-"/>
      <w:lvlJc w:val="left"/>
      <w:pPr>
        <w:ind w:left="405" w:hanging="360"/>
      </w:pPr>
      <w:rPr>
        <w:rFonts w:ascii="Calibri" w:eastAsia="Times New Roman" w:hAnsi="Calibri" w:cs="Arial" w:hint="default"/>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3">
    <w:nsid w:val="3625720C"/>
    <w:multiLevelType w:val="hybridMultilevel"/>
    <w:tmpl w:val="F58CBD8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382A5944"/>
    <w:multiLevelType w:val="hybridMultilevel"/>
    <w:tmpl w:val="AA028B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4043790D"/>
    <w:multiLevelType w:val="hybridMultilevel"/>
    <w:tmpl w:val="7B9A212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401689F"/>
    <w:multiLevelType w:val="hybridMultilevel"/>
    <w:tmpl w:val="AC2C96E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57755FB8"/>
    <w:multiLevelType w:val="hybridMultilevel"/>
    <w:tmpl w:val="E10AB9B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5DE02295"/>
    <w:multiLevelType w:val="hybridMultilevel"/>
    <w:tmpl w:val="B8DC3ED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6F793FD3"/>
    <w:multiLevelType w:val="hybridMultilevel"/>
    <w:tmpl w:val="A906F9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7F5E12E2"/>
    <w:multiLevelType w:val="hybridMultilevel"/>
    <w:tmpl w:val="7946F2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7F5E12E3"/>
    <w:multiLevelType w:val="hybridMultilevel"/>
    <w:tmpl w:val="9B12A5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7F5E12E4"/>
    <w:multiLevelType w:val="hybridMultilevel"/>
    <w:tmpl w:val="58982B0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7F5E12E5"/>
    <w:multiLevelType w:val="hybridMultilevel"/>
    <w:tmpl w:val="C414BF20"/>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num>
  <w:num w:numId="2">
    <w:abstractNumId w:val="11"/>
  </w:num>
  <w:num w:numId="3">
    <w:abstractNumId w:val="12"/>
  </w:num>
  <w:num w:numId="4">
    <w:abstractNumId w:val="7"/>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64"/>
    <w:rsid w:val="00133039"/>
    <w:rsid w:val="003054BA"/>
    <w:rsid w:val="00317234"/>
    <w:rsid w:val="003B71E8"/>
    <w:rsid w:val="004C4B64"/>
    <w:rsid w:val="00727FA1"/>
    <w:rsid w:val="00766715"/>
    <w:rsid w:val="00AC3509"/>
    <w:rsid w:val="00B05DC4"/>
    <w:rsid w:val="00B12839"/>
    <w:rsid w:val="00DB677D"/>
    <w:rsid w:val="00E730C4"/>
    <w:rsid w:val="00E91A5A"/>
    <w:rsid w:val="00EC55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B64"/>
    <w:rPr>
      <w:rFonts w:ascii="Calibri" w:hAnsi="Calibri"/>
      <w:sz w:val="22"/>
      <w:szCs w:val="24"/>
    </w:rPr>
  </w:style>
  <w:style w:type="paragraph" w:styleId="Heading3">
    <w:name w:val="heading 3"/>
    <w:basedOn w:val="Normal"/>
    <w:next w:val="Normal"/>
    <w:link w:val="Heading3Char"/>
    <w:qFormat/>
    <w:rsid w:val="004C4B64"/>
    <w:pPr>
      <w:keepNext/>
      <w:spacing w:before="120" w:after="120"/>
      <w:jc w:val="both"/>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4B64"/>
    <w:rPr>
      <w:rFonts w:ascii="Calibri" w:hAnsi="Calibri"/>
      <w:b/>
      <w:sz w:val="22"/>
      <w:u w:val="single"/>
    </w:rPr>
  </w:style>
  <w:style w:type="paragraph" w:styleId="Footer">
    <w:name w:val="footer"/>
    <w:basedOn w:val="Normal"/>
    <w:link w:val="FooterChar"/>
    <w:uiPriority w:val="99"/>
    <w:rsid w:val="004C4B64"/>
    <w:pPr>
      <w:tabs>
        <w:tab w:val="center" w:pos="4153"/>
        <w:tab w:val="right" w:pos="8306"/>
      </w:tabs>
      <w:jc w:val="both"/>
    </w:pPr>
    <w:rPr>
      <w:szCs w:val="20"/>
    </w:rPr>
  </w:style>
  <w:style w:type="character" w:customStyle="1" w:styleId="FooterChar">
    <w:name w:val="Footer Char"/>
    <w:basedOn w:val="DefaultParagraphFont"/>
    <w:link w:val="Footer"/>
    <w:uiPriority w:val="99"/>
    <w:rsid w:val="004C4B64"/>
    <w:rPr>
      <w:rFonts w:ascii="Calibri" w:hAnsi="Calibri"/>
      <w:sz w:val="22"/>
    </w:rPr>
  </w:style>
  <w:style w:type="paragraph" w:styleId="BodyText">
    <w:name w:val="Body Text"/>
    <w:basedOn w:val="Normal"/>
    <w:link w:val="BodyTextChar"/>
    <w:rsid w:val="004C4B64"/>
    <w:pPr>
      <w:jc w:val="both"/>
    </w:pPr>
    <w:rPr>
      <w:b/>
      <w:sz w:val="28"/>
      <w:szCs w:val="20"/>
    </w:rPr>
  </w:style>
  <w:style w:type="character" w:customStyle="1" w:styleId="BodyTextChar">
    <w:name w:val="Body Text Char"/>
    <w:basedOn w:val="DefaultParagraphFont"/>
    <w:link w:val="BodyText"/>
    <w:rsid w:val="004C4B64"/>
    <w:rPr>
      <w:rFonts w:ascii="Calibri" w:hAnsi="Calibri"/>
      <w:b/>
      <w:sz w:val="28"/>
    </w:rPr>
  </w:style>
  <w:style w:type="paragraph" w:styleId="BodyTextIndent">
    <w:name w:val="Body Text Indent"/>
    <w:basedOn w:val="Normal"/>
    <w:link w:val="BodyTextIndentChar"/>
    <w:rsid w:val="004C4B64"/>
    <w:pPr>
      <w:ind w:left="1134" w:hanging="283"/>
      <w:jc w:val="both"/>
    </w:pPr>
    <w:rPr>
      <w:szCs w:val="20"/>
    </w:rPr>
  </w:style>
  <w:style w:type="character" w:customStyle="1" w:styleId="BodyTextIndentChar">
    <w:name w:val="Body Text Indent Char"/>
    <w:basedOn w:val="DefaultParagraphFont"/>
    <w:link w:val="BodyTextIndent"/>
    <w:rsid w:val="004C4B64"/>
    <w:rPr>
      <w:rFonts w:ascii="Calibri" w:hAnsi="Calibri"/>
      <w:sz w:val="22"/>
    </w:rPr>
  </w:style>
  <w:style w:type="paragraph" w:styleId="BodyTextIndent3">
    <w:name w:val="Body Text Indent 3"/>
    <w:basedOn w:val="Normal"/>
    <w:link w:val="BodyTextIndent3Char"/>
    <w:rsid w:val="004C4B64"/>
    <w:pPr>
      <w:ind w:left="1134" w:hanging="283"/>
    </w:pPr>
    <w:rPr>
      <w:szCs w:val="20"/>
    </w:rPr>
  </w:style>
  <w:style w:type="character" w:customStyle="1" w:styleId="BodyTextIndent3Char">
    <w:name w:val="Body Text Indent 3 Char"/>
    <w:basedOn w:val="DefaultParagraphFont"/>
    <w:link w:val="BodyTextIndent3"/>
    <w:rsid w:val="004C4B64"/>
    <w:rPr>
      <w:rFonts w:ascii="Calibri" w:hAnsi="Calibri"/>
      <w:sz w:val="22"/>
    </w:rPr>
  </w:style>
  <w:style w:type="character" w:styleId="Hyperlink">
    <w:name w:val="Hyperlink"/>
    <w:uiPriority w:val="99"/>
    <w:rsid w:val="004C4B64"/>
    <w:rPr>
      <w:color w:val="0000FF"/>
      <w:u w:val="single"/>
    </w:rPr>
  </w:style>
  <w:style w:type="paragraph" w:styleId="Header">
    <w:name w:val="header"/>
    <w:basedOn w:val="Normal"/>
    <w:link w:val="HeaderChar"/>
    <w:rsid w:val="004C4B64"/>
    <w:pPr>
      <w:tabs>
        <w:tab w:val="center" w:pos="4513"/>
        <w:tab w:val="right" w:pos="9026"/>
      </w:tabs>
    </w:pPr>
  </w:style>
  <w:style w:type="character" w:customStyle="1" w:styleId="HeaderChar">
    <w:name w:val="Header Char"/>
    <w:basedOn w:val="DefaultParagraphFont"/>
    <w:link w:val="Header"/>
    <w:rsid w:val="004C4B64"/>
    <w:rPr>
      <w:rFonts w:ascii="Calibri" w:hAnsi="Calibri"/>
      <w:sz w:val="22"/>
      <w:szCs w:val="24"/>
    </w:rPr>
  </w:style>
  <w:style w:type="paragraph" w:customStyle="1" w:styleId="Default">
    <w:name w:val="Default"/>
    <w:rsid w:val="004C4B6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C4B64"/>
    <w:rPr>
      <w:rFonts w:ascii="Tahoma" w:hAnsi="Tahoma" w:cs="Tahoma"/>
      <w:sz w:val="16"/>
      <w:szCs w:val="16"/>
    </w:rPr>
  </w:style>
  <w:style w:type="character" w:customStyle="1" w:styleId="BalloonTextChar">
    <w:name w:val="Balloon Text Char"/>
    <w:basedOn w:val="DefaultParagraphFont"/>
    <w:link w:val="BalloonText"/>
    <w:rsid w:val="004C4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B64"/>
    <w:rPr>
      <w:rFonts w:ascii="Calibri" w:hAnsi="Calibri"/>
      <w:sz w:val="22"/>
      <w:szCs w:val="24"/>
    </w:rPr>
  </w:style>
  <w:style w:type="paragraph" w:styleId="Heading3">
    <w:name w:val="heading 3"/>
    <w:basedOn w:val="Normal"/>
    <w:next w:val="Normal"/>
    <w:link w:val="Heading3Char"/>
    <w:qFormat/>
    <w:rsid w:val="004C4B64"/>
    <w:pPr>
      <w:keepNext/>
      <w:spacing w:before="120" w:after="120"/>
      <w:jc w:val="both"/>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4B64"/>
    <w:rPr>
      <w:rFonts w:ascii="Calibri" w:hAnsi="Calibri"/>
      <w:b/>
      <w:sz w:val="22"/>
      <w:u w:val="single"/>
    </w:rPr>
  </w:style>
  <w:style w:type="paragraph" w:styleId="Footer">
    <w:name w:val="footer"/>
    <w:basedOn w:val="Normal"/>
    <w:link w:val="FooterChar"/>
    <w:uiPriority w:val="99"/>
    <w:rsid w:val="004C4B64"/>
    <w:pPr>
      <w:tabs>
        <w:tab w:val="center" w:pos="4153"/>
        <w:tab w:val="right" w:pos="8306"/>
      </w:tabs>
      <w:jc w:val="both"/>
    </w:pPr>
    <w:rPr>
      <w:szCs w:val="20"/>
    </w:rPr>
  </w:style>
  <w:style w:type="character" w:customStyle="1" w:styleId="FooterChar">
    <w:name w:val="Footer Char"/>
    <w:basedOn w:val="DefaultParagraphFont"/>
    <w:link w:val="Footer"/>
    <w:uiPriority w:val="99"/>
    <w:rsid w:val="004C4B64"/>
    <w:rPr>
      <w:rFonts w:ascii="Calibri" w:hAnsi="Calibri"/>
      <w:sz w:val="22"/>
    </w:rPr>
  </w:style>
  <w:style w:type="paragraph" w:styleId="BodyText">
    <w:name w:val="Body Text"/>
    <w:basedOn w:val="Normal"/>
    <w:link w:val="BodyTextChar"/>
    <w:rsid w:val="004C4B64"/>
    <w:pPr>
      <w:jc w:val="both"/>
    </w:pPr>
    <w:rPr>
      <w:b/>
      <w:sz w:val="28"/>
      <w:szCs w:val="20"/>
    </w:rPr>
  </w:style>
  <w:style w:type="character" w:customStyle="1" w:styleId="BodyTextChar">
    <w:name w:val="Body Text Char"/>
    <w:basedOn w:val="DefaultParagraphFont"/>
    <w:link w:val="BodyText"/>
    <w:rsid w:val="004C4B64"/>
    <w:rPr>
      <w:rFonts w:ascii="Calibri" w:hAnsi="Calibri"/>
      <w:b/>
      <w:sz w:val="28"/>
    </w:rPr>
  </w:style>
  <w:style w:type="paragraph" w:styleId="BodyTextIndent">
    <w:name w:val="Body Text Indent"/>
    <w:basedOn w:val="Normal"/>
    <w:link w:val="BodyTextIndentChar"/>
    <w:rsid w:val="004C4B64"/>
    <w:pPr>
      <w:ind w:left="1134" w:hanging="283"/>
      <w:jc w:val="both"/>
    </w:pPr>
    <w:rPr>
      <w:szCs w:val="20"/>
    </w:rPr>
  </w:style>
  <w:style w:type="character" w:customStyle="1" w:styleId="BodyTextIndentChar">
    <w:name w:val="Body Text Indent Char"/>
    <w:basedOn w:val="DefaultParagraphFont"/>
    <w:link w:val="BodyTextIndent"/>
    <w:rsid w:val="004C4B64"/>
    <w:rPr>
      <w:rFonts w:ascii="Calibri" w:hAnsi="Calibri"/>
      <w:sz w:val="22"/>
    </w:rPr>
  </w:style>
  <w:style w:type="paragraph" w:styleId="BodyTextIndent3">
    <w:name w:val="Body Text Indent 3"/>
    <w:basedOn w:val="Normal"/>
    <w:link w:val="BodyTextIndent3Char"/>
    <w:rsid w:val="004C4B64"/>
    <w:pPr>
      <w:ind w:left="1134" w:hanging="283"/>
    </w:pPr>
    <w:rPr>
      <w:szCs w:val="20"/>
    </w:rPr>
  </w:style>
  <w:style w:type="character" w:customStyle="1" w:styleId="BodyTextIndent3Char">
    <w:name w:val="Body Text Indent 3 Char"/>
    <w:basedOn w:val="DefaultParagraphFont"/>
    <w:link w:val="BodyTextIndent3"/>
    <w:rsid w:val="004C4B64"/>
    <w:rPr>
      <w:rFonts w:ascii="Calibri" w:hAnsi="Calibri"/>
      <w:sz w:val="22"/>
    </w:rPr>
  </w:style>
  <w:style w:type="character" w:styleId="Hyperlink">
    <w:name w:val="Hyperlink"/>
    <w:uiPriority w:val="99"/>
    <w:rsid w:val="004C4B64"/>
    <w:rPr>
      <w:color w:val="0000FF"/>
      <w:u w:val="single"/>
    </w:rPr>
  </w:style>
  <w:style w:type="paragraph" w:styleId="Header">
    <w:name w:val="header"/>
    <w:basedOn w:val="Normal"/>
    <w:link w:val="HeaderChar"/>
    <w:rsid w:val="004C4B64"/>
    <w:pPr>
      <w:tabs>
        <w:tab w:val="center" w:pos="4513"/>
        <w:tab w:val="right" w:pos="9026"/>
      </w:tabs>
    </w:pPr>
  </w:style>
  <w:style w:type="character" w:customStyle="1" w:styleId="HeaderChar">
    <w:name w:val="Header Char"/>
    <w:basedOn w:val="DefaultParagraphFont"/>
    <w:link w:val="Header"/>
    <w:rsid w:val="004C4B64"/>
    <w:rPr>
      <w:rFonts w:ascii="Calibri" w:hAnsi="Calibri"/>
      <w:sz w:val="22"/>
      <w:szCs w:val="24"/>
    </w:rPr>
  </w:style>
  <w:style w:type="paragraph" w:customStyle="1" w:styleId="Default">
    <w:name w:val="Default"/>
    <w:rsid w:val="004C4B6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C4B64"/>
    <w:rPr>
      <w:rFonts w:ascii="Tahoma" w:hAnsi="Tahoma" w:cs="Tahoma"/>
      <w:sz w:val="16"/>
      <w:szCs w:val="16"/>
    </w:rPr>
  </w:style>
  <w:style w:type="character" w:customStyle="1" w:styleId="BalloonTextChar">
    <w:name w:val="Balloon Text Char"/>
    <w:basedOn w:val="DefaultParagraphFont"/>
    <w:link w:val="BalloonText"/>
    <w:rsid w:val="004C4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midaleregional.nsw.gov.au."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nvironment.nsw.gov.au/licences/archinvestigations.ht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rmidaleregional.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C13FBE84</Template>
  <TotalTime>12</TotalTime>
  <Pages>12</Pages>
  <Words>4347</Words>
  <Characters>24781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29070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jgoodall</dc:creator>
  <cp:lastModifiedBy>jgoodall</cp:lastModifiedBy>
  <cp:revision>1</cp:revision>
  <dcterms:created xsi:type="dcterms:W3CDTF">2019-11-28T00:31:00Z</dcterms:created>
  <dcterms:modified xsi:type="dcterms:W3CDTF">2019-11-28T00:45:00Z</dcterms:modified>
</cp:coreProperties>
</file>